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6"/>
        <w:gridCol w:w="4536"/>
      </w:tblGrid>
      <w:tr>
        <w:tc>
          <w:tcPr>
            <w:tcW w:type="dxa" w:w="5184"/>
          </w:tcPr>
          <w:p>
            <w:pPr>
              <w:spacing w:after="20"/>
              <w:jc w:val="center"/>
            </w:pPr>
            <w:r>
              <w:rPr>
                <w:rFonts w:ascii="Times New Roman" w:hAnsi="Times New Roman"/>
                <w:b/>
                <w:sz w:val="20"/>
              </w:rPr>
              <w:t>Chủ quản: VĂN PHÒNG ĐĂNG KÝ ĐẤT ĐAI</w:t>
              <w:br/>
              <w:t>THÀNH PHỐ HỒ CHÍ MINH</w:t>
            </w:r>
          </w:p>
          <w:p>
            <w:pPr>
              <w:spacing w:after="20"/>
              <w:jc w:val="center"/>
            </w:pPr>
            <w:r>
              <w:rPr>
                <w:rFonts w:ascii="Times New Roman" w:hAnsi="Times New Roman"/>
                <w:b/>
                <w:sz w:val="20"/>
              </w:rPr>
              <w:t>Đơn vị: CHI NHÁNH VĂN PHÒNG ĐĂNG KÝ ĐẤT ĐAI SỐ 23</w:t>
            </w:r>
          </w:p>
          <w:p>
            <w:pPr>
              <w:spacing w:after="0"/>
              <w:jc w:val="center"/>
            </w:pPr>
            <w:r>
              <w:rPr>
                <w:rFonts w:ascii="Times New Roman" w:hAnsi="Times New Roman"/>
                <w:i/>
                <w:sz w:val="19"/>
              </w:rPr>
              <w:t>Mã số QHNS: ................................</w:t>
            </w:r>
          </w:p>
        </w:tc>
        <w:tc>
          <w:tcPr>
            <w:tcW w:type="dxa" w:w="3888"/>
          </w:tcPr>
          <w:p>
            <w:pPr>
              <w:spacing w:after="20"/>
              <w:jc w:val="center"/>
            </w:pPr>
            <w:r>
              <w:rPr>
                <w:rFonts w:ascii="Times New Roman" w:hAnsi="Times New Roman"/>
                <w:b/>
                <w:sz w:val="20"/>
              </w:rPr>
              <w:t>CỘNG HÒA XÃ HỘI CHỦ NGHĨA VIỆT NAM</w:t>
            </w:r>
          </w:p>
          <w:p>
            <w:pPr>
              <w:spacing w:after="40"/>
              <w:jc w:val="center"/>
            </w:pPr>
            <w:r>
              <w:rPr>
                <w:rFonts w:ascii="Times New Roman" w:hAnsi="Times New Roman"/>
                <w:b/>
                <w:sz w:val="21"/>
              </w:rPr>
              <w:t>Độc lập - Tự do - Hạnh phúc</w:t>
            </w:r>
          </w:p>
          <w:p>
            <w:pPr>
              <w:spacing w:after="0"/>
              <w:jc w:val="center"/>
            </w:pPr>
            <w:r>
              <w:rPr>
                <w:rFonts w:ascii="Times New Roman" w:hAnsi="Times New Roman"/>
                <w:i/>
                <w:sz w:val="19"/>
              </w:rPr>
              <w:t>Thủ Dầu Một, ngày      tháng      năm 2026</w:t>
            </w:r>
          </w:p>
        </w:tc>
      </w:tr>
    </w:tbl>
    <w:p/>
    <w:p>
      <w:pPr>
        <w:spacing w:after="40"/>
        <w:jc w:val="center"/>
      </w:pPr>
      <w:r>
        <w:rPr>
          <w:rFonts w:ascii="Times New Roman" w:hAnsi="Times New Roman"/>
          <w:b/>
          <w:sz w:val="30"/>
        </w:rPr>
        <w:t>PHƯƠNG ÁN</w:t>
      </w:r>
    </w:p>
    <w:p>
      <w:pPr>
        <w:spacing w:after="280"/>
        <w:jc w:val="center"/>
      </w:pPr>
      <w:r>
        <w:rPr>
          <w:rFonts w:ascii="Times New Roman" w:hAnsi="Times New Roman"/>
          <w:b/>
          <w:sz w:val="26"/>
        </w:rPr>
        <w:t>SỬ DỤNG TÀI SẢN PHỤC VỤ VIÊN CHỨC VÀ NGƯỜI LAO ĐỘNG</w:t>
        <w:br/>
        <w:t>TẠI CHI NHÁNH VĂN PHÒNG ĐĂNG KÝ ĐẤT ĐAI SỐ 23</w:t>
      </w:r>
    </w:p>
    <w:p>
      <w:pPr>
        <w:spacing w:before="240" w:after="80"/>
      </w:pPr>
      <w:r>
        <w:rPr>
          <w:rFonts w:ascii="Times New Roman" w:hAnsi="Times New Roman"/>
          <w:b/>
          <w:sz w:val="27"/>
        </w:rPr>
        <w:t>I. Căn cứ pháp lý</w:t>
      </w:r>
    </w:p>
    <w:p>
      <w:pPr>
        <w:pStyle w:val="ListBullet"/>
        <w:spacing w:after="60" w:line="276" w:lineRule="auto"/>
        <w:jc w:val="both"/>
      </w:pPr>
      <w:r>
        <w:rPr>
          <w:rFonts w:ascii="Times New Roman" w:hAnsi="Times New Roman"/>
          <w:sz w:val="26"/>
        </w:rPr>
        <w:t>Căn cứ Luật Quản lý, sử dụng tài sản công ngày 21 tháng 6 năm 2017;</w:t>
      </w:r>
    </w:p>
    <w:p>
      <w:pPr>
        <w:pStyle w:val="ListBullet"/>
        <w:spacing w:after="60" w:line="276" w:lineRule="auto"/>
        <w:jc w:val="both"/>
      </w:pPr>
      <w:r>
        <w:rPr>
          <w:rFonts w:ascii="Times New Roman" w:hAnsi="Times New Roman"/>
          <w:sz w:val="26"/>
        </w:rPr>
        <w:t>Căn cứ Nghị định số 155/2025/NĐ-CP ngày 16 tháng 6 năm 2025 của Chính phủ quy định tiêu chuẩn, định mức sử dụng trụ sở làm việc, cơ sở hoạt động sự nghiệp;</w:t>
      </w:r>
    </w:p>
    <w:p>
      <w:pPr>
        <w:pStyle w:val="ListBullet"/>
        <w:spacing w:after="60" w:line="276" w:lineRule="auto"/>
        <w:jc w:val="both"/>
      </w:pPr>
      <w:r>
        <w:rPr>
          <w:rFonts w:ascii="Times New Roman" w:hAnsi="Times New Roman"/>
          <w:sz w:val="26"/>
        </w:rPr>
        <w:t>Căn cứ Nghị định số 186/2025/NĐ-CP ngày 01 tháng 7 năm 2025 của Chính phủ quy định chi tiết một số điều của Luật Quản lý, sử dụng tài sản công; Nghị định số 286/2025/NĐ-CP ngày 03 tháng 11 năm 2025 của Chính phủ sửa đổi, bổ sung một số điều của các Nghị định trong lĩnh vực quản lý, sử dụng tài sản công;</w:t>
      </w:r>
    </w:p>
    <w:p>
      <w:pPr>
        <w:pStyle w:val="ListBullet"/>
        <w:spacing w:after="60" w:line="276" w:lineRule="auto"/>
        <w:jc w:val="both"/>
      </w:pPr>
      <w:r>
        <w:rPr>
          <w:rFonts w:ascii="Times New Roman" w:hAnsi="Times New Roman"/>
          <w:sz w:val="26"/>
        </w:rPr>
        <w:t>Căn cứ Công văn số 223/BTC-QLCS ngày 08 tháng 01 năm 2026 của Bộ Tài chính về thực hiện sắp xếp, bố trí, xử lý trụ sở sau khi sắp xếp tổ chức bộ máy, sắp xếp đơn vị hành chính;</w:t>
      </w:r>
    </w:p>
    <w:p>
      <w:pPr>
        <w:pStyle w:val="ListBullet"/>
        <w:spacing w:after="60" w:line="276" w:lineRule="auto"/>
        <w:jc w:val="both"/>
      </w:pPr>
      <w:r>
        <w:rPr>
          <w:rFonts w:ascii="Times New Roman" w:hAnsi="Times New Roman"/>
          <w:sz w:val="26"/>
        </w:rPr>
        <w:t>Căn cứ Kế hoạch số 74/KH-UBND ngày 23 tháng 10 năm 2025 của Ủy ban nhân dân Thành phố Hồ Chí Minh về việc sắp xếp, bố trí, xử lý đối với tài sản công của các cơ quan, tổ chức, đơn vị thuộc phạm vi quản lý của Thành phố Hồ Chí Minh;</w:t>
      </w:r>
    </w:p>
    <w:p>
      <w:pPr>
        <w:pStyle w:val="ListBullet"/>
        <w:spacing w:after="60" w:line="276" w:lineRule="auto"/>
        <w:jc w:val="both"/>
      </w:pPr>
      <w:r>
        <w:rPr>
          <w:rFonts w:ascii="Times New Roman" w:hAnsi="Times New Roman"/>
          <w:sz w:val="26"/>
        </w:rPr>
        <w:t>Căn cứ Công văn số 545/UBND-KT ngày 23 tháng 01 năm 2026 của Ủy ban nhân dân Thành phố Hồ Chí Minh về việc thực hiện sắp xếp, bố trí, xử lý trụ sở sau khi sắp xếp tổ chức bộ máy, sắp xếp đơn vị hành chính;</w:t>
      </w:r>
    </w:p>
    <w:p>
      <w:pPr>
        <w:pStyle w:val="ListBullet"/>
        <w:spacing w:after="60" w:line="276" w:lineRule="auto"/>
        <w:jc w:val="both"/>
      </w:pPr>
      <w:r>
        <w:rPr>
          <w:rFonts w:ascii="Times New Roman" w:hAnsi="Times New Roman"/>
          <w:sz w:val="26"/>
        </w:rPr>
        <w:t>Căn cứ Quyết định số 02/2026/QĐ-CTUBND ngày 16 tháng 01 năm 2026 của Chủ tịch Ủy ban nhân dân Thành phố Hồ Chí Minh về phân cấp thẩm quyền quyết định trong việc quản lý, sử dụng tài sản công thuộc phạm vi quản lý của Thành phố Hồ Chí Minh;</w:t>
      </w:r>
    </w:p>
    <w:p>
      <w:pPr>
        <w:pStyle w:val="ListBullet"/>
        <w:spacing w:after="60" w:line="276" w:lineRule="auto"/>
        <w:jc w:val="both"/>
      </w:pPr>
      <w:r>
        <w:rPr>
          <w:rFonts w:ascii="Times New Roman" w:hAnsi="Times New Roman"/>
          <w:sz w:val="26"/>
        </w:rPr>
        <w:t>Căn cứ Công văn số 5440/STC-QLCS ngày 09 tháng 3 năm 2026 của Sở Tài chính Thành phố Hồ Chí Minh về việc triển khai thực hiện sắp xếp, bố trí, xử lý trụ sở theo hướng dẫn của Bộ Tài chính;</w:t>
      </w:r>
    </w:p>
    <w:p>
      <w:pPr>
        <w:pStyle w:val="ListBullet"/>
        <w:spacing w:after="60" w:line="276" w:lineRule="auto"/>
        <w:jc w:val="both"/>
      </w:pPr>
      <w:r>
        <w:rPr>
          <w:rFonts w:ascii="Times New Roman" w:hAnsi="Times New Roman"/>
          <w:sz w:val="26"/>
        </w:rPr>
        <w:t>Căn cứ Công văn số 6949/SNNMT-KHTC ngày 20 tháng 3 năm 2026 của Sở Nông nghiệp và Môi trường Thành phố Hồ Chí Minh về việc triển khai thực hiện sắp xếp, bố trí, xử lý trụ sở sau khi sắp xếp tổ chức bộ máy, sắp xếp đơn vị hành chính;</w:t>
      </w:r>
    </w:p>
    <w:p>
      <w:pPr>
        <w:pStyle w:val="ListBullet"/>
        <w:spacing w:after="60" w:line="276" w:lineRule="auto"/>
        <w:jc w:val="both"/>
      </w:pPr>
      <w:r>
        <w:rPr>
          <w:rFonts w:ascii="Times New Roman" w:hAnsi="Times New Roman"/>
          <w:sz w:val="26"/>
        </w:rPr>
        <w:t>Căn cứ Quyết định số 1886/QĐ-UBND ngày 01 tháng 10 năm 2025 của Ủy ban nhân dân Thành phố Hồ Chí Minh về tổ chức lại Văn phòng Đăng ký đất đai Thành phố Hồ Chí Minh trực thuộc Sở Nông nghiệp và Môi trường Thành phố Hồ Chí Minh trên cơ sở hợp nhất Văn phòng Đăng ký đất đai Thành phố Hồ Chí Minh, Văn phòng Đăng ký đất đai tỉnh Bình Dương và Văn phòng Đăng ký đất đai tỉnh Bà Rịa - Vũng Tàu;</w:t>
      </w:r>
    </w:p>
    <w:p>
      <w:pPr>
        <w:pStyle w:val="ListBullet"/>
        <w:spacing w:after="60" w:line="276" w:lineRule="auto"/>
        <w:jc w:val="both"/>
      </w:pPr>
      <w:r>
        <w:rPr>
          <w:rFonts w:ascii="Times New Roman" w:hAnsi="Times New Roman"/>
          <w:sz w:val="26"/>
        </w:rPr>
        <w:t>Căn cứ Quyết định số 1551/QĐ-SNNMT-VP ngày 02 tháng 10 năm 2025 của Giám đốc Sở Nông nghiệp và Môi trường Thành phố Hồ Chí Minh về việc ban hành Quy định chức năng, nhiệm vụ, quyền hạn và cơ cấu tổ chức của Văn phòng Đăng ký đất đai Thành phố Hồ Chí Minh trực thuộc Sở Nông nghiệp và Môi trường Thành phố Hồ Chí Minh;</w:t>
      </w:r>
    </w:p>
    <w:p>
      <w:pPr>
        <w:pStyle w:val="ListBullet"/>
        <w:spacing w:after="60" w:line="276" w:lineRule="auto"/>
        <w:jc w:val="both"/>
      </w:pPr>
      <w:r>
        <w:rPr>
          <w:rFonts w:ascii="Times New Roman" w:hAnsi="Times New Roman"/>
          <w:sz w:val="26"/>
        </w:rPr>
        <w:t>Căn cứ Quyết định số 2637/QĐ-SNNMT-VP ngày 15 tháng 12 năm 2025 của Giám đốc Sở Nông nghiệp và Môi trường Thành phố Hồ Chí Minh về việc ban hành Quy định chức năng, nhiệm vụ, quyền hạn và cơ cấu tổ chức của Chi nhánh Văn phòng Đăng ký đất đai số 23 trực thuộc Văn phòng Đăng ký đất đai Thành phố Hồ Chí Minh;</w:t>
      </w:r>
    </w:p>
    <w:p>
      <w:pPr>
        <w:pStyle w:val="ListBullet"/>
        <w:spacing w:after="60" w:line="276" w:lineRule="auto"/>
        <w:jc w:val="both"/>
      </w:pPr>
      <w:r>
        <w:rPr>
          <w:rFonts w:ascii="Times New Roman" w:hAnsi="Times New Roman"/>
          <w:sz w:val="26"/>
        </w:rPr>
        <w:t>Căn cứ Quyết định số 480/QĐ-VPĐK-HC ngày 30 tháng 3 năm 2026 của Giám đốc Văn phòng Đăng ký đất đai Thành phố Hồ Chí Minh về việc giao số lượng người làm việc cho Chi nhánh Văn phòng Đăng ký đất đai số 23 năm 2026;</w:t>
      </w:r>
    </w:p>
    <w:p>
      <w:pPr>
        <w:pStyle w:val="ListBullet"/>
        <w:spacing w:after="60" w:line="276" w:lineRule="auto"/>
        <w:jc w:val="both"/>
      </w:pPr>
      <w:r>
        <w:rPr>
          <w:rFonts w:ascii="Times New Roman" w:hAnsi="Times New Roman"/>
          <w:sz w:val="26"/>
        </w:rPr>
        <w:t>Căn cứ Thông tư số 09/2007/TT-BNV ngày 26 tháng 11 năm 2007 của Bộ Nội vụ hướng dẫn kho lưu trữ chuyên dùng;</w:t>
      </w:r>
    </w:p>
    <w:p>
      <w:pPr>
        <w:pStyle w:val="ListBullet"/>
        <w:spacing w:after="60" w:line="276" w:lineRule="auto"/>
        <w:jc w:val="both"/>
      </w:pPr>
      <w:r>
        <w:rPr>
          <w:rFonts w:ascii="Times New Roman" w:hAnsi="Times New Roman"/>
          <w:sz w:val="26"/>
        </w:rPr>
        <w:t>Căn cứ Tiêu chuẩn quốc gia TCVN 4319:2012 về Nhà và công trình công cộng - Nguyên tắc cơ bản để thiết kế;</w:t>
      </w:r>
    </w:p>
    <w:p>
      <w:pPr>
        <w:pStyle w:val="ListBullet"/>
        <w:spacing w:after="60" w:line="276" w:lineRule="auto"/>
        <w:jc w:val="both"/>
      </w:pPr>
      <w:r>
        <w:rPr>
          <w:rFonts w:ascii="Times New Roman" w:hAnsi="Times New Roman"/>
          <w:sz w:val="26"/>
        </w:rPr>
        <w:t>Căn cứ Biên bản bàn giao, tiếp nhận tài sản công ngày 09 tháng 5 năm 2019 giữa Ủy ban nhân dân phường Chánh Mỹ và Chi nhánh Văn phòng Đăng ký quyền sử dụng đất thành phố Thủ Dầu Một (nay là Chi nhánh Văn phòng Đăng ký đất đai số 23);</w:t>
      </w:r>
    </w:p>
    <w:p>
      <w:pPr>
        <w:pStyle w:val="ListBullet"/>
        <w:spacing w:after="60" w:line="276" w:lineRule="auto"/>
        <w:jc w:val="both"/>
      </w:pPr>
      <w:r>
        <w:rPr>
          <w:rFonts w:ascii="Times New Roman" w:hAnsi="Times New Roman"/>
          <w:sz w:val="26"/>
        </w:rPr>
        <w:t>Căn cứ Công văn số 17475/VPĐK-KHTC ngày 08 tháng 6 năm 2026 của Văn phòng Đăng ký đất đai Thành phố Hồ Chí Minh về việc rà soát, cập nhật bổ sung số liệu thông tin về cơ sở nhà, đất đang quản lý, sử dụng;</w:t>
      </w:r>
    </w:p>
    <w:p>
      <w:pPr>
        <w:pStyle w:val="ListBullet"/>
        <w:spacing w:after="60" w:line="276" w:lineRule="auto"/>
        <w:jc w:val="both"/>
      </w:pPr>
      <w:r>
        <w:rPr>
          <w:rFonts w:ascii="Times New Roman" w:hAnsi="Times New Roman"/>
          <w:sz w:val="26"/>
        </w:rPr>
        <w:t>Căn cứ Tờ trình số 195/TTr-TYT ngày 04 tháng 3 năm 2026 của Trạm Y tế phường Thủ Dầu Một về việc xin điều chuyển 06 cơ sở làm việc trực thuộc do không có nhu cầu sử dụng;</w:t>
      </w:r>
    </w:p>
    <w:p>
      <w:pPr>
        <w:pStyle w:val="ListBullet"/>
        <w:spacing w:after="60" w:line="276" w:lineRule="auto"/>
        <w:jc w:val="both"/>
      </w:pPr>
      <w:r>
        <w:rPr>
          <w:rFonts w:ascii="Times New Roman" w:hAnsi="Times New Roman"/>
          <w:sz w:val="26"/>
        </w:rPr>
        <w:t>Căn cứ Công văn số 602/CN23-HCTH ngày 14 tháng 4 năm 2026 của Chi nhánh Văn phòng Đăng ký đất đai số 23 về việc mượn trụ sở Trung tâm Y tế phường Chánh Mỹ cũ để làm kho lưu trữ hồ sơ địa chính;</w:t>
      </w:r>
    </w:p>
    <w:p>
      <w:pPr>
        <w:pStyle w:val="ListBullet"/>
        <w:spacing w:after="60" w:line="276" w:lineRule="auto"/>
        <w:jc w:val="both"/>
      </w:pPr>
      <w:r>
        <w:rPr>
          <w:rFonts w:ascii="Times New Roman" w:hAnsi="Times New Roman"/>
          <w:sz w:val="26"/>
        </w:rPr>
        <w:t>Căn cứ Tờ trình số 427/TTr-TYT ngày 17 tháng 4 năm 2026 của Trạm Y tế phường Thủ Dầu Một về việc xin chủ trương chấp thuận cho mượn trụ sở Điểm trạm y tế 3;</w:t>
      </w:r>
    </w:p>
    <w:p>
      <w:pPr>
        <w:pStyle w:val="ListBullet"/>
        <w:spacing w:after="60" w:line="276" w:lineRule="auto"/>
        <w:jc w:val="both"/>
      </w:pPr>
      <w:r>
        <w:rPr>
          <w:rFonts w:ascii="Times New Roman" w:hAnsi="Times New Roman"/>
          <w:sz w:val="26"/>
        </w:rPr>
        <w:t>Căn cứ Công văn số 413/KTHT&amp;ĐT-NS ngày 05 tháng 5 năm 2026 của Phòng Kinh tế, Hạ tầng và Đô thị phường Thủ Dầu Một về việc ý kiến đề nghị mượn trụ sở để làm kho lưu trữ hồ sơ địa chính của Chi nhánh số 23;</w:t>
      </w:r>
    </w:p>
    <w:p>
      <w:pPr>
        <w:pStyle w:val="ListBullet"/>
        <w:spacing w:after="60" w:line="276" w:lineRule="auto"/>
        <w:jc w:val="both"/>
      </w:pPr>
      <w:r>
        <w:rPr>
          <w:rFonts w:ascii="Times New Roman" w:hAnsi="Times New Roman"/>
          <w:sz w:val="26"/>
        </w:rPr>
        <w:t>Căn cứ Công văn số 1136/UBND-VP ngày 08 tháng 5 năm 2026 của Ủy ban nhân dân phường Thủ Dầu Một về việc ý kiến đề nghị mượn trụ sở để làm kho lưu trữ hồ sơ địa chính của Văn phòng Đăng ký đất đai Thành phố Hồ Chí Minh - Chi nhánh số 23;</w:t>
      </w:r>
    </w:p>
    <w:p>
      <w:pPr>
        <w:pStyle w:val="ListBullet"/>
        <w:spacing w:after="60" w:line="276" w:lineRule="auto"/>
        <w:jc w:val="both"/>
      </w:pPr>
      <w:r>
        <w:rPr>
          <w:rFonts w:ascii="Times New Roman" w:hAnsi="Times New Roman"/>
          <w:sz w:val="26"/>
        </w:rPr>
        <w:t>Căn cứ Công văn số 1509/CN23-HCTH ngày 03 tháng 7 năm 2026 của Chi nhánh Văn phòng Đăng ký đất đai số 23 về việc xin chủ trương bổ sung trụ sở để làm kho lưu trữ cho Chi nhánh Văn phòng Đăng ký đất đai số 23;</w:t>
      </w:r>
    </w:p>
    <w:p>
      <w:pPr>
        <w:pStyle w:val="ListBullet"/>
        <w:spacing w:after="60" w:line="276" w:lineRule="auto"/>
        <w:jc w:val="both"/>
      </w:pPr>
      <w:r>
        <w:rPr>
          <w:rFonts w:ascii="Times New Roman" w:hAnsi="Times New Roman"/>
          <w:sz w:val="26"/>
        </w:rPr>
        <w:t>Căn cứ Công văn số 2122/UBND-VP ngày 20 tháng 7 năm 2026 của Ủy ban nhân dân phường Thủ Dầu Một về việc bổ sung thuyết minh tiêu chuẩn, định mức sử dụng tài sản công để phục vụ công tác điều chuyển trụ sở làm việc;</w:t>
      </w:r>
    </w:p>
    <w:p>
      <w:pPr>
        <w:pStyle w:val="ListBullet"/>
        <w:spacing w:after="60" w:line="276" w:lineRule="auto"/>
        <w:jc w:val="both"/>
      </w:pPr>
      <w:r>
        <w:rPr>
          <w:rFonts w:ascii="Times New Roman" w:hAnsi="Times New Roman"/>
          <w:sz w:val="26"/>
        </w:rPr>
        <w:t>Căn cứ Công văn số 1656/CN23-HCTH ngày 21 tháng 7 năm 2026 của Chi nhánh Văn phòng Đăng ký đất đai số 23 về việc thuyết minh tiêu chuẩn, định mức sử dụng diện tích trụ sở làm việc tại số 358 Huỳnh Văn Cù, phường Thủ Dầu Một.</w:t>
      </w:r>
    </w:p>
    <w:p>
      <w:pPr>
        <w:spacing w:before="240" w:after="80"/>
      </w:pPr>
      <w:r>
        <w:rPr>
          <w:rFonts w:ascii="Times New Roman" w:hAnsi="Times New Roman"/>
          <w:b/>
          <w:sz w:val="27"/>
        </w:rPr>
        <w:t>II. Mục đích của phương án</w:t>
      </w:r>
    </w:p>
    <w:p>
      <w:pPr>
        <w:spacing w:before="160" w:after="60"/>
      </w:pPr>
      <w:r>
        <w:rPr>
          <w:rFonts w:ascii="Times New Roman" w:hAnsi="Times New Roman"/>
          <w:b/>
          <w:sz w:val="26"/>
        </w:rPr>
        <w:t>1. Căn cứ xây dựng phương án</w:t>
      </w:r>
    </w:p>
    <w:p>
      <w:pPr>
        <w:spacing w:after="80" w:line="276" w:lineRule="auto"/>
        <w:jc w:val="both"/>
      </w:pPr>
      <w:r>
        <w:rPr>
          <w:rFonts w:ascii="Times New Roman" w:hAnsi="Times New Roman"/>
          <w:i w:val="0"/>
          <w:sz w:val="26"/>
        </w:rPr>
        <w:t>Chi nhánh Văn phòng Đăng ký đất đai số 23 (sau đây viết tắt là Chi nhánh số 23) là đơn vị sự nghiệp công lập trực thuộc Văn phòng Đăng ký đất đai Thành phố Hồ Chí Minh (Sở Nông nghiệp và Môi trường Thành phố Hồ Chí Minh), thực hiện chức năng đăng ký đất đai, cấp Giấy chứng nhận quyền sử dụng đất, chỉnh lý biến động, đo đạc bản đồ, thống kê kiểm kê đất đai và quản lý, vận hành, cập nhật, khai thác cơ sở dữ liệu địa chính, hồ sơ tài liệu địa chính trên địa bàn phụ trách.</w:t>
      </w:r>
    </w:p>
    <w:p>
      <w:pPr>
        <w:spacing w:after="80" w:line="276" w:lineRule="auto"/>
        <w:jc w:val="both"/>
      </w:pPr>
      <w:r>
        <w:rPr>
          <w:rFonts w:ascii="Times New Roman" w:hAnsi="Times New Roman"/>
          <w:i w:val="0"/>
          <w:sz w:val="26"/>
        </w:rPr>
        <w:t>Từ năm 2019 đến nay, Chi nhánh số 23 đang tạm thời quản lý, sử dụng cơ sở nhà, đất tại số 358 đường Huỳnh Văn Cù, khu phố Chánh Lộc 7, phường Thủ Dầu Một, Thành phố Hồ Chí Minh (trước đây là trụ sở Ủy ban nhân dân phường Chánh Mỹ cũ, được tiếp nhận theo Biên bản bàn giao ngày 09/5/2019 căn cứ Thông báo kết luận số 233/TB-UBND ngày 03/4/2019 và Công văn số 642/UBND-KT ngày 08/4/2019 của UBND thành phố Thủ Dầu Một). Cơ sở hiện hữu có diện tích khuôn viên đất đang sử dụng ổn định là 1.417,7 m²; tổng diện tích sàn xây dựng thực tế của công trình khối nhà làm việc là 835,3 m².</w:t>
      </w:r>
    </w:p>
    <w:p>
      <w:pPr>
        <w:spacing w:after="80" w:line="276" w:lineRule="auto"/>
        <w:jc w:val="both"/>
      </w:pPr>
      <w:r>
        <w:rPr>
          <w:rFonts w:ascii="Times New Roman" w:hAnsi="Times New Roman"/>
          <w:i w:val="0"/>
          <w:sz w:val="26"/>
        </w:rPr>
        <w:t>Do đặc thù chuyên môn quản lý ngành, khối lượng tài liệu, hồ sơ địa chính gốc và hồ sơ biến động đất đai phát sinh hàng ngày tại Chi nhánh là vô cùng lớn. Hiện tại, kho lưu trữ chuyên dụng tại trụ sở số 358 Huỳnh Văn Cù chỉ có 300 m² sàn đã lấp đầy 100% công suất; lượng hồ sơ chưa chỉnh lý chiếm khoảng 30% đang phải lưu tạm tại 02 phòng làm việc của cán bộ nhân viên, gây nguy cơ mất an toàn về phòng cháy chữa cháy, ẩm mốc và hư hại tài liệu lưu trữ quốc gia.</w:t>
      </w:r>
    </w:p>
    <w:p>
      <w:pPr>
        <w:spacing w:after="80" w:line="276" w:lineRule="auto"/>
        <w:jc w:val="both"/>
      </w:pPr>
      <w:r>
        <w:rPr>
          <w:rFonts w:ascii="Times New Roman" w:hAnsi="Times New Roman"/>
          <w:i w:val="0"/>
          <w:sz w:val="26"/>
        </w:rPr>
        <w:t>Qua rà soát quỹ nhà, đất công dôi dư trên địa bàn, cơ sở nhà đất tại Điểm trạm y tế 3 (Trạm Y tế phường Chánh Mỹ cũ) tọa lạc trên đường Huỳnh Văn Cù, khu phố Chánh Lộc 7, phường Thủ Dầu Một có diện tích đất 1.276,2 m² hiện đang bỏ trống, không có nhu cầu sử dụng. Cơ sở này nằm liền kề, giáp ranh với khuôn viên trụ sở chính số 358 Huỳnh Văn Cù của Chi nhánh số 23. Trạm Y tế phường Thủ Dầu Một đã có Tờ trình số 195/TTr-TYT ngày 04/3/2026 và Tờ trình số 427/TTr-TYT ngày 17/4/2026 thống nhất chủ trương xin điều chuyển và cho Chi nhánh mượn tạm mặt bằng làm kho. Ủy ban nhân dân phường Thủ Dầu Một đã có Công văn số 1136/UBND-VP ngày 08/5/2026 và Công văn số 2122/UBND-VP ngày 20/7/2026 hướng dẫn Chi nhánh số 23 bổ sung thuyết minh tiêu chuẩn định mức, báo cáo cơ quan quản lý cấp trên để trình Ủy ban nhân dân Thành phố Hồ Chí Minh quyết định điều chuyển tài sản công theo đúng quy định.</w:t>
      </w:r>
    </w:p>
    <w:p>
      <w:pPr>
        <w:spacing w:before="160" w:after="60"/>
      </w:pPr>
      <w:r>
        <w:rPr>
          <w:rFonts w:ascii="Times New Roman" w:hAnsi="Times New Roman"/>
          <w:b/>
          <w:sz w:val="26"/>
        </w:rPr>
        <w:t>2. Mục đích xây dựng phương án</w:t>
      </w:r>
    </w:p>
    <w:p>
      <w:pPr>
        <w:pStyle w:val="ListBullet"/>
        <w:spacing w:after="60" w:line="276" w:lineRule="auto"/>
        <w:jc w:val="both"/>
      </w:pPr>
      <w:r>
        <w:rPr>
          <w:rFonts w:ascii="Times New Roman" w:hAnsi="Times New Roman"/>
          <w:sz w:val="26"/>
        </w:rPr>
        <w:t>Cụ thể hóa việc quản lý, sử dụng tài sản công theo đúng quy định của Luật Quản lý, sử dụng tài sản công ngày 21/6/2017, Nghị định số 155/2025/NĐ-CP ngày 16/6/2025, Nghị định số 186/2025/NĐ-CP ngày 01/7/2025 và Nghị định số 286/2025/NĐ-CP ngày 03/11/2025 của Chính phủ; bảo đảm việc quản lý, khai thác tài sản đúng mục đích, đúng công năng, đúng tiêu chuẩn, định mức, tiết kiệm và hiệu quả.</w:t>
      </w:r>
    </w:p>
    <w:p>
      <w:pPr>
        <w:pStyle w:val="ListBullet"/>
        <w:spacing w:after="60" w:line="276" w:lineRule="auto"/>
        <w:jc w:val="both"/>
      </w:pPr>
      <w:r>
        <w:rPr>
          <w:rFonts w:ascii="Times New Roman" w:hAnsi="Times New Roman"/>
          <w:sz w:val="26"/>
        </w:rPr>
        <w:t>Làm căn cứ pháp lý để bố trí, sắp xếp, quản lý và sử dụng trụ sở làm việc hiện hữu tại số 358 Huỳnh Văn Cù kết hợp tiếp nhận điều chuyển cơ sở Điểm trạm y tế 3 dôi dư liền kề để cải tạo thành hệ thống kho lưu trữ hồ sơ địa chính tập trung độc lập liên kết, đáp ứng yêu cầu thực hiện nhiệm vụ chuyên môn của đơn vị.</w:t>
      </w:r>
    </w:p>
    <w:p>
      <w:pPr>
        <w:pStyle w:val="ListBullet"/>
        <w:spacing w:after="60" w:line="276" w:lineRule="auto"/>
        <w:jc w:val="both"/>
      </w:pPr>
      <w:r>
        <w:rPr>
          <w:rFonts w:ascii="Times New Roman" w:hAnsi="Times New Roman"/>
          <w:sz w:val="26"/>
        </w:rPr>
        <w:t>Nâng cao hiệu quả khai thác, sử dụng tài sản công; chấm dứt tình trạng tài sản công dôi dư bỏ trống gây xuống cấp, lãng phí; đồng thời giải quyết triệt để tình trạng quá tải kho lưu trữ địa chính, bảo quản an toàn tài liệu gốc phục vụ công tác quản lý nhà nước về đất đai.</w:t>
      </w:r>
    </w:p>
    <w:p>
      <w:pPr>
        <w:pStyle w:val="ListBullet"/>
        <w:spacing w:after="60" w:line="276" w:lineRule="auto"/>
        <w:jc w:val="both"/>
      </w:pPr>
      <w:r>
        <w:rPr>
          <w:rFonts w:ascii="Times New Roman" w:hAnsi="Times New Roman"/>
          <w:sz w:val="26"/>
        </w:rPr>
        <w:t>Đáp ứng yêu cầu cải cách thủ tục hành chính, chuyển đổi số ngành tài nguyên môi trường, duy trì vận hành hiệu quả Bộ phận tiếp nhận và trả kết quả (Một cửa), tạo điều kiện thuận lợi tối đa phục vụ người dân và doanh nghiệp trên địa bàn.</w:t>
      </w:r>
    </w:p>
    <w:p>
      <w:pPr>
        <w:pStyle w:val="ListBullet"/>
        <w:spacing w:after="60" w:line="276" w:lineRule="auto"/>
        <w:jc w:val="both"/>
      </w:pPr>
      <w:r>
        <w:rPr>
          <w:rFonts w:ascii="Times New Roman" w:hAnsi="Times New Roman"/>
          <w:sz w:val="26"/>
        </w:rPr>
        <w:t>Bảo đảm điều kiện và môi trường làm việc an toàn, đạt chuẩn theo quy định cho 85 viên chức và người lao động của Chi nhánh số 23; làm cơ sở để cơ quan có thẩm quyền ban hành quyết định giao, điều chuyển tài sản công theo phân cấp quản lý.</w:t>
      </w:r>
    </w:p>
    <w:p>
      <w:pPr>
        <w:spacing w:before="160" w:after="60"/>
      </w:pPr>
      <w:r>
        <w:rPr>
          <w:rFonts w:ascii="Times New Roman" w:hAnsi="Times New Roman"/>
          <w:b/>
          <w:sz w:val="26"/>
        </w:rPr>
        <w:t>3. Đánh giá sự cần thiết của việc tiếp nhận, quản lý và sử dụng tài sản</w:t>
      </w:r>
    </w:p>
    <w:p>
      <w:pPr>
        <w:spacing w:after="80" w:line="276" w:lineRule="auto"/>
        <w:jc w:val="both"/>
      </w:pPr>
      <w:r>
        <w:rPr>
          <w:rFonts w:ascii="Times New Roman" w:hAnsi="Times New Roman"/>
          <w:i w:val="0"/>
          <w:sz w:val="26"/>
        </w:rPr>
        <w:t>Căn cứ Quyết định số 480/QĐ-VPĐK-HC ngày 30/3/2026 của Giám đốc Văn phòng Đăng ký đất đai Thành phố Hồ Chí Minh, Chi nhánh số 23 được giao chỉ tiêu số lượng người làm việc năm 2026 là 85 người (gồm 03 viên chức quản lý, 42 viên chức chuyên ngành, 37 chuyên môn dùng chung và 03 hợp đồng lao động phục vụ). Đối chiếu tiêu chuẩn, định mức diện tích quy định tại Phụ lục II ban hành kèm theo Nghị định số 155/2025/NĐ-CP:</w:t>
      </w:r>
    </w:p>
    <w:p>
      <w:pPr>
        <w:pStyle w:val="ListBullet"/>
        <w:spacing w:after="60" w:line="276" w:lineRule="auto"/>
        <w:jc w:val="both"/>
      </w:pPr>
      <w:r>
        <w:rPr>
          <w:rFonts w:ascii="Times New Roman" w:hAnsi="Times New Roman"/>
          <w:sz w:val="26"/>
        </w:rPr>
        <w:t>Tổng diện tích làm việc định mức tối đa của các chức danh (85 người) là: 1.260,00 m² (trong đó: 82 chức danh chuyên viên và tương đương × 15 m²/người = 1.230 m²; 03 chức danh HĐLĐ phục vụ × 10 m²/người = 30 m²).</w:t>
      </w:r>
    </w:p>
    <w:p>
      <w:pPr>
        <w:pStyle w:val="ListBullet"/>
        <w:spacing w:after="60" w:line="276" w:lineRule="auto"/>
        <w:jc w:val="both"/>
      </w:pPr>
      <w:r>
        <w:rPr>
          <w:rFonts w:ascii="Times New Roman" w:hAnsi="Times New Roman"/>
          <w:sz w:val="26"/>
        </w:rPr>
        <w:t>Diện tích sử dụng chung tối đa theo quy định (không quá 85% diện tích chức danh theo Khoản 2 Điều 6 NĐ 155) là: 1.260 m² × 85% = 1.071,00 m².</w:t>
      </w:r>
    </w:p>
    <w:p>
      <w:pPr>
        <w:pStyle w:val="ListBullet"/>
        <w:spacing w:after="60" w:line="276" w:lineRule="auto"/>
        <w:jc w:val="both"/>
      </w:pPr>
      <w:r>
        <w:rPr>
          <w:rFonts w:ascii="Times New Roman" w:hAnsi="Times New Roman"/>
          <w:sz w:val="26"/>
        </w:rPr>
        <w:t>Tổng quy mô diện tích sàn xây dựng theo tiêu chuẩn định mức tối đa được phép bố trí toàn trụ sở là: 1.260 m² + 1.071 m² = 2.331,00 m².</w:t>
      </w:r>
    </w:p>
    <w:p>
      <w:pPr>
        <w:spacing w:after="80" w:line="276" w:lineRule="auto"/>
        <w:jc w:val="both"/>
      </w:pPr>
      <w:r>
        <w:rPr>
          <w:rFonts w:ascii="Times New Roman" w:hAnsi="Times New Roman"/>
          <w:i w:val="0"/>
          <w:sz w:val="26"/>
        </w:rPr>
        <w:t>Trong khi đó, tổng diện tích sàn xây dựng thực tế của công trình hiện hữu tại số 358 Huỳnh Văn Cù chỉ có 835,30 m². Kết quả đối chiếu cơ học cho thấy:</w:t>
      </w:r>
    </w:p>
    <w:p>
      <w:pPr>
        <w:pStyle w:val="ListBullet"/>
        <w:spacing w:after="60" w:line="276" w:lineRule="auto"/>
        <w:jc w:val="both"/>
      </w:pPr>
      <w:r>
        <w:rPr>
          <w:rFonts w:ascii="Times New Roman" w:hAnsi="Times New Roman"/>
          <w:sz w:val="26"/>
        </w:rPr>
        <w:t>So với diện tích phòng làm việc thuần của các chức danh (1.260 m²), cơ sở hiện hữu đang thiếu hụt 424,70 m² sàn (mới đáp ứng 66,29% nhu cầu cơ bản).</w:t>
      </w:r>
    </w:p>
    <w:p>
      <w:pPr>
        <w:pStyle w:val="ListBullet"/>
        <w:spacing w:after="60" w:line="276" w:lineRule="auto"/>
        <w:jc w:val="both"/>
      </w:pPr>
      <w:r>
        <w:rPr>
          <w:rFonts w:ascii="Times New Roman" w:hAnsi="Times New Roman"/>
          <w:sz w:val="26"/>
        </w:rPr>
        <w:t>So với tổng quy mô định mức diện tích toàn bộ trụ sở (2.331 m²), cơ sở hiện hữu đang thiếu hụt tới 1.495,70 m² sàn (chỉ đáp ứng được 35,83% định mức quy định).</w:t>
      </w:r>
    </w:p>
    <w:p>
      <w:pPr>
        <w:spacing w:after="80" w:line="276" w:lineRule="auto"/>
        <w:jc w:val="both"/>
      </w:pPr>
      <w:r>
        <w:rPr>
          <w:rFonts w:ascii="Times New Roman" w:hAnsi="Times New Roman"/>
          <w:i w:val="0"/>
          <w:sz w:val="26"/>
        </w:rPr>
        <w:t>Như vậy, ngay cả khi đơn vị sử dụng 100% diện tích sàn công trình hiện hữu chỉ để bố trí chỗ ngồi cho cán bộ nhân viên và triệt tiêu toàn bộ không gian dùng chung (hành lang, phòng họp, bộ phận Một cửa), trụ sở vẫn không đủ diện tích làm việc theo quy định của Chính phủ. Đồng thời, toàn bộ công trình 835,3 m² đã được tận dụng tối đa mật độ, đơn vị hoàn toàn không còn diện tích sàn trống để bố trí mở rộng kho lưu trữ chuyên ngành tại chỗ.</w:t>
      </w:r>
    </w:p>
    <w:p>
      <w:pPr>
        <w:spacing w:after="80" w:line="276" w:lineRule="auto"/>
        <w:jc w:val="both"/>
      </w:pPr>
      <w:r>
        <w:rPr>
          <w:rFonts w:ascii="Times New Roman" w:hAnsi="Times New Roman"/>
          <w:i w:val="0"/>
          <w:sz w:val="26"/>
        </w:rPr>
        <w:t>Do đó, việc giữ lại nguyên vẹn cơ sở trụ sở hiện hữu tại số 358 Huỳnh Văn Cù (đất 1.417,7 m², sàn 835,3 m²) và tiếp nhận điều chuyển cơ sở Điểm trạm y tế 3 dôi dư liền kề (đất 1.276,2 m²) để cải tạo làm Kho lưu trữ chuyên dụng tập trung độc lập liên kết là phương án tối ưu, cấp thiết và hoàn toàn phù hợp với quy định tại Khoản 5 Điều 3 Nghị định số 155/2025/NĐ-CP và Nghị định số 186/2025/NĐ-CP.</w:t>
      </w:r>
    </w:p>
    <w:p>
      <w:pPr>
        <w:spacing w:before="240" w:after="80"/>
      </w:pPr>
      <w:r>
        <w:rPr>
          <w:rFonts w:ascii="Times New Roman" w:hAnsi="Times New Roman"/>
          <w:b/>
          <w:sz w:val="27"/>
        </w:rPr>
        <w:t>III. Thực trạng quản lý, sử dụng tài sản tại Chi nhánh số 23</w:t>
      </w:r>
    </w:p>
    <w:p>
      <w:pPr>
        <w:spacing w:before="160" w:after="60"/>
      </w:pPr>
      <w:r>
        <w:rPr>
          <w:rFonts w:ascii="Times New Roman" w:hAnsi="Times New Roman"/>
          <w:b/>
          <w:sz w:val="26"/>
        </w:rPr>
        <w:t>1. Tổ chức bộ máy và nhân sự</w:t>
      </w:r>
    </w:p>
    <w:p>
      <w:pPr>
        <w:spacing w:after="80" w:line="276" w:lineRule="auto"/>
        <w:jc w:val="both"/>
      </w:pPr>
      <w:r>
        <w:rPr>
          <w:rFonts w:ascii="Times New Roman" w:hAnsi="Times New Roman"/>
          <w:i w:val="0"/>
          <w:sz w:val="26"/>
        </w:rPr>
        <w:t>Chi nhánh Văn phòng Đăng ký đất đai số 23 trực thuộc Văn phòng Đăng ký đất đai Thành phố Hồ Chí Minh (Sở Nông nghiệp và Môi trường Thành phố Hồ Chí Minh) được kiện toàn theo Quyết định số 2637/QĐ-SNNMT-VP ngày 15/12/2025. Số lượng người làm việc được giao năm 2026 theo Quyết định số 480/QĐ-VPĐK-HC là 85 người, cơ cấu tổ chức gồm:</w:t>
      </w:r>
    </w:p>
    <w:p>
      <w:pPr>
        <w:pStyle w:val="ListBullet"/>
        <w:spacing w:after="60" w:line="276" w:lineRule="auto"/>
        <w:jc w:val="both"/>
      </w:pPr>
      <w:r>
        <w:rPr>
          <w:rFonts w:ascii="Times New Roman" w:hAnsi="Times New Roman"/>
          <w:sz w:val="26"/>
        </w:rPr>
        <w:t>Ban Giám đốc Chi nhánh: 03 người (Giám đốc và 02 Phó Giám đốc).</w:t>
      </w:r>
    </w:p>
    <w:p>
      <w:pPr>
        <w:pStyle w:val="ListBullet"/>
        <w:spacing w:after="60" w:line="276" w:lineRule="auto"/>
        <w:jc w:val="both"/>
      </w:pPr>
      <w:r>
        <w:rPr>
          <w:rFonts w:ascii="Times New Roman" w:hAnsi="Times New Roman"/>
          <w:sz w:val="26"/>
        </w:rPr>
        <w:t>Tổ Hành chính - Tổng hợp: 16 người (gồm viên chức tổng hợp, kế toán, văn thư, lưu trữ và 03 hợp đồng lao động hỗ trợ, phục vụ gồm 01 phục vụ, 02 bảo vệ).</w:t>
      </w:r>
    </w:p>
    <w:p>
      <w:pPr>
        <w:pStyle w:val="ListBullet"/>
        <w:spacing w:after="60" w:line="276" w:lineRule="auto"/>
        <w:jc w:val="both"/>
      </w:pPr>
      <w:r>
        <w:rPr>
          <w:rFonts w:ascii="Times New Roman" w:hAnsi="Times New Roman"/>
          <w:sz w:val="26"/>
        </w:rPr>
        <w:t>Tổ Đăng ký và Cấp giấy chứng nhận: 42 người (thực hiện công tác đăng ký đất đai, cấp GCN, đăng ký biến động, giao dịch bảo đảm).</w:t>
      </w:r>
    </w:p>
    <w:p>
      <w:pPr>
        <w:pStyle w:val="ListBullet"/>
        <w:spacing w:after="60" w:line="276" w:lineRule="auto"/>
        <w:jc w:val="both"/>
      </w:pPr>
      <w:r>
        <w:rPr>
          <w:rFonts w:ascii="Times New Roman" w:hAnsi="Times New Roman"/>
          <w:sz w:val="26"/>
        </w:rPr>
        <w:t>Tổ Kỹ thuật địa chính: 24 người (thực hiện nghiệp vụ đo đạc, kiểm tra bản trích lục, trích đo địa chính, cập nhật chỉnh lý biến động bản đồ địa chính).</w:t>
      </w:r>
    </w:p>
    <w:p>
      <w:pPr>
        <w:spacing w:before="160" w:after="60"/>
      </w:pPr>
      <w:r>
        <w:rPr>
          <w:rFonts w:ascii="Times New Roman" w:hAnsi="Times New Roman"/>
          <w:b/>
          <w:sz w:val="26"/>
        </w:rPr>
        <w:t>2. Hiện trạng bố trí các phòng làm việc và phòng chuyên dụng tại số 358 Huỳnh Văn Cù</w:t>
      </w:r>
    </w:p>
    <w:p>
      <w:pPr>
        <w:spacing w:after="80" w:line="276" w:lineRule="auto"/>
        <w:jc w:val="both"/>
      </w:pPr>
      <w:r>
        <w:rPr>
          <w:rFonts w:ascii="Times New Roman" w:hAnsi="Times New Roman"/>
          <w:i w:val="0"/>
          <w:sz w:val="26"/>
        </w:rPr>
        <w:t>Toàn bộ khối công trình hiện hữu tại số 358 Huỳnh Văn Cù có tổng diện tích sàn 835,30 m², đang được đơn vị bố trí khai thác với mật độ siêu tiết kiệm, cụ thể như sau:</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12"/>
        <w:gridCol w:w="1512"/>
        <w:gridCol w:w="1512"/>
        <w:gridCol w:w="1512"/>
        <w:gridCol w:w="1512"/>
        <w:gridCol w:w="1512"/>
      </w:tblGrid>
      <w:tr>
        <w:tc>
          <w:tcPr>
            <w:tcW w:type="dxa" w:w="1512"/>
            <w:shd w:fill="1E3A8A"/>
            <w:tcMar>
              <w:top w:w="80" w:type="dxa"/>
              <w:bottom w:w="80" w:type="dxa"/>
              <w:left w:w="100" w:type="dxa"/>
              <w:right w:w="100" w:type="dxa"/>
            </w:tcMar>
          </w:tcPr>
          <w:p>
            <w:pPr>
              <w:jc w:val="center"/>
            </w:pPr>
            <w:r>
              <w:rPr>
                <w:rFonts w:ascii="Times New Roman" w:hAnsi="Times New Roman"/>
                <w:b/>
                <w:color w:val="FFFFFF"/>
                <w:sz w:val="20"/>
              </w:rPr>
              <w:t>STT</w:t>
            </w:r>
          </w:p>
        </w:tc>
        <w:tc>
          <w:tcPr>
            <w:tcW w:type="dxa" w:w="1512"/>
            <w:shd w:fill="1E3A8A"/>
            <w:tcMar>
              <w:top w:w="80" w:type="dxa"/>
              <w:bottom w:w="80" w:type="dxa"/>
              <w:left w:w="100" w:type="dxa"/>
              <w:right w:w="100" w:type="dxa"/>
            </w:tcMar>
          </w:tcPr>
          <w:p>
            <w:pPr>
              <w:jc w:val="center"/>
            </w:pPr>
            <w:r>
              <w:rPr>
                <w:rFonts w:ascii="Times New Roman" w:hAnsi="Times New Roman"/>
                <w:b/>
                <w:color w:val="FFFFFF"/>
                <w:sz w:val="20"/>
              </w:rPr>
              <w:t>Hạng mục phòng, tổ</w:t>
            </w:r>
          </w:p>
        </w:tc>
        <w:tc>
          <w:tcPr>
            <w:tcW w:type="dxa" w:w="1512"/>
            <w:shd w:fill="1E3A8A"/>
            <w:tcMar>
              <w:top w:w="80" w:type="dxa"/>
              <w:bottom w:w="80" w:type="dxa"/>
              <w:left w:w="100" w:type="dxa"/>
              <w:right w:w="100" w:type="dxa"/>
            </w:tcMar>
          </w:tcPr>
          <w:p>
            <w:pPr>
              <w:jc w:val="center"/>
            </w:pPr>
            <w:r>
              <w:rPr>
                <w:rFonts w:ascii="Times New Roman" w:hAnsi="Times New Roman"/>
                <w:b/>
                <w:color w:val="FFFFFF"/>
                <w:sz w:val="20"/>
              </w:rPr>
              <w:t>Năm đưa vào SD</w:t>
            </w:r>
          </w:p>
        </w:tc>
        <w:tc>
          <w:tcPr>
            <w:tcW w:type="dxa" w:w="1512"/>
            <w:shd w:fill="1E3A8A"/>
            <w:tcMar>
              <w:top w:w="80" w:type="dxa"/>
              <w:bottom w:w="80" w:type="dxa"/>
              <w:left w:w="100" w:type="dxa"/>
              <w:right w:w="100" w:type="dxa"/>
            </w:tcMar>
          </w:tcPr>
          <w:p>
            <w:pPr>
              <w:jc w:val="center"/>
            </w:pPr>
            <w:r>
              <w:rPr>
                <w:rFonts w:ascii="Times New Roman" w:hAnsi="Times New Roman"/>
                <w:b/>
                <w:color w:val="FFFFFF"/>
                <w:sz w:val="20"/>
              </w:rPr>
              <w:t>Diện tích (m²)</w:t>
            </w:r>
          </w:p>
        </w:tc>
        <w:tc>
          <w:tcPr>
            <w:tcW w:type="dxa" w:w="1512"/>
            <w:shd w:fill="1E3A8A"/>
            <w:tcMar>
              <w:top w:w="80" w:type="dxa"/>
              <w:bottom w:w="80" w:type="dxa"/>
              <w:left w:w="100" w:type="dxa"/>
              <w:right w:w="100" w:type="dxa"/>
            </w:tcMar>
          </w:tcPr>
          <w:p>
            <w:pPr>
              <w:jc w:val="center"/>
            </w:pPr>
            <w:r>
              <w:rPr>
                <w:rFonts w:ascii="Times New Roman" w:hAnsi="Times New Roman"/>
                <w:b/>
                <w:color w:val="FFFFFF"/>
                <w:sz w:val="20"/>
              </w:rPr>
              <w:t>Số người bố trí</w:t>
            </w:r>
          </w:p>
        </w:tc>
        <w:tc>
          <w:tcPr>
            <w:tcW w:type="dxa" w:w="1512"/>
            <w:shd w:fill="1E3A8A"/>
            <w:tcMar>
              <w:top w:w="80" w:type="dxa"/>
              <w:bottom w:w="80" w:type="dxa"/>
              <w:left w:w="100" w:type="dxa"/>
              <w:right w:w="100" w:type="dxa"/>
            </w:tcMar>
          </w:tcPr>
          <w:p>
            <w:pPr>
              <w:jc w:val="center"/>
            </w:pPr>
            <w:r>
              <w:rPr>
                <w:rFonts w:ascii="Times New Roman" w:hAnsi="Times New Roman"/>
                <w:b/>
                <w:color w:val="FFFFFF"/>
                <w:sz w:val="20"/>
              </w:rPr>
              <w:t>Ghi chú công năng</w:t>
            </w:r>
          </w:p>
        </w:tc>
      </w:tr>
      <w:tr>
        <w:tc>
          <w:tcPr>
            <w:tcW w:type="dxa" w:w="1512"/>
            <w:tcMar>
              <w:top w:w="60" w:type="dxa"/>
              <w:bottom w:w="60" w:type="dxa"/>
              <w:left w:w="80" w:type="dxa"/>
              <w:right w:w="80" w:type="dxa"/>
            </w:tcMar>
          </w:tcPr>
          <w:p>
            <w:pPr>
              <w:jc w:val="center"/>
            </w:pPr>
            <w:r>
              <w:rPr>
                <w:rFonts w:ascii="Times New Roman" w:hAnsi="Times New Roman"/>
                <w:sz w:val="19"/>
              </w:rPr>
              <w:t>1</w:t>
            </w:r>
          </w:p>
        </w:tc>
        <w:tc>
          <w:tcPr>
            <w:tcW w:type="dxa" w:w="1512"/>
            <w:tcMar>
              <w:top w:w="60" w:type="dxa"/>
              <w:bottom w:w="60" w:type="dxa"/>
              <w:left w:w="80" w:type="dxa"/>
              <w:right w:w="80" w:type="dxa"/>
            </w:tcMar>
          </w:tcPr>
          <w:p>
            <w:pPr>
              <w:jc w:val="left"/>
            </w:pPr>
            <w:r>
              <w:rPr>
                <w:rFonts w:ascii="Times New Roman" w:hAnsi="Times New Roman"/>
                <w:sz w:val="19"/>
              </w:rPr>
              <w:t>Phòng làm việc Giám đốc Chi nhánh</w:t>
            </w:r>
          </w:p>
        </w:tc>
        <w:tc>
          <w:tcPr>
            <w:tcW w:type="dxa" w:w="1512"/>
            <w:tcMar>
              <w:top w:w="60" w:type="dxa"/>
              <w:bottom w:w="60" w:type="dxa"/>
              <w:left w:w="80" w:type="dxa"/>
              <w:right w:w="80" w:type="dxa"/>
            </w:tcMar>
          </w:tcPr>
          <w:p>
            <w:pPr>
              <w:jc w:val="center"/>
            </w:pPr>
            <w:r>
              <w:rPr>
                <w:rFonts w:ascii="Times New Roman" w:hAnsi="Times New Roman"/>
                <w:sz w:val="19"/>
              </w:rPr>
              <w:t>2019</w:t>
            </w:r>
          </w:p>
        </w:tc>
        <w:tc>
          <w:tcPr>
            <w:tcW w:type="dxa" w:w="1512"/>
            <w:tcMar>
              <w:top w:w="60" w:type="dxa"/>
              <w:bottom w:w="60" w:type="dxa"/>
              <w:left w:w="80" w:type="dxa"/>
              <w:right w:w="80" w:type="dxa"/>
            </w:tcMar>
          </w:tcPr>
          <w:p>
            <w:pPr>
              <w:jc w:val="right"/>
            </w:pPr>
            <w:r>
              <w:rPr>
                <w:rFonts w:ascii="Times New Roman" w:hAnsi="Times New Roman"/>
                <w:sz w:val="19"/>
              </w:rPr>
              <w:t>20,00</w:t>
            </w:r>
          </w:p>
        </w:tc>
        <w:tc>
          <w:tcPr>
            <w:tcW w:type="dxa" w:w="1512"/>
            <w:tcMar>
              <w:top w:w="60" w:type="dxa"/>
              <w:bottom w:w="60" w:type="dxa"/>
              <w:left w:w="80" w:type="dxa"/>
              <w:right w:w="80" w:type="dxa"/>
            </w:tcMar>
          </w:tcPr>
          <w:p>
            <w:pPr>
              <w:jc w:val="center"/>
            </w:pPr>
            <w:r>
              <w:rPr>
                <w:rFonts w:ascii="Times New Roman" w:hAnsi="Times New Roman"/>
                <w:sz w:val="19"/>
              </w:rPr>
              <w:t>01</w:t>
            </w:r>
          </w:p>
        </w:tc>
        <w:tc>
          <w:tcPr>
            <w:tcW w:type="dxa" w:w="1512"/>
            <w:tcMar>
              <w:top w:w="60" w:type="dxa"/>
              <w:bottom w:w="60" w:type="dxa"/>
              <w:left w:w="80" w:type="dxa"/>
              <w:right w:w="80" w:type="dxa"/>
            </w:tcMar>
          </w:tcPr>
          <w:p>
            <w:pPr>
              <w:jc w:val="left"/>
            </w:pPr>
            <w:r>
              <w:rPr>
                <w:rFonts w:ascii="Times New Roman" w:hAnsi="Times New Roman"/>
                <w:sz w:val="19"/>
              </w:rPr>
              <w:t>Trụ sở chính tầng 2</w:t>
            </w:r>
          </w:p>
        </w:tc>
      </w:tr>
      <w:tr>
        <w:tc>
          <w:tcPr>
            <w:tcW w:type="dxa" w:w="1512"/>
            <w:tcMar>
              <w:top w:w="60" w:type="dxa"/>
              <w:bottom w:w="60" w:type="dxa"/>
              <w:left w:w="80" w:type="dxa"/>
              <w:right w:w="80" w:type="dxa"/>
            </w:tcMar>
          </w:tcPr>
          <w:p>
            <w:pPr>
              <w:jc w:val="center"/>
            </w:pPr>
            <w:r>
              <w:rPr>
                <w:rFonts w:ascii="Times New Roman" w:hAnsi="Times New Roman"/>
                <w:sz w:val="19"/>
              </w:rPr>
              <w:t>2</w:t>
            </w:r>
          </w:p>
        </w:tc>
        <w:tc>
          <w:tcPr>
            <w:tcW w:type="dxa" w:w="1512"/>
            <w:tcMar>
              <w:top w:w="60" w:type="dxa"/>
              <w:bottom w:w="60" w:type="dxa"/>
              <w:left w:w="80" w:type="dxa"/>
              <w:right w:w="80" w:type="dxa"/>
            </w:tcMar>
          </w:tcPr>
          <w:p>
            <w:pPr>
              <w:jc w:val="left"/>
            </w:pPr>
            <w:r>
              <w:rPr>
                <w:rFonts w:ascii="Times New Roman" w:hAnsi="Times New Roman"/>
                <w:sz w:val="19"/>
              </w:rPr>
              <w:t>Phòng làm việc Phó Giám đốc Chi nhánh (Cs1)</w:t>
            </w:r>
          </w:p>
        </w:tc>
        <w:tc>
          <w:tcPr>
            <w:tcW w:type="dxa" w:w="1512"/>
            <w:tcMar>
              <w:top w:w="60" w:type="dxa"/>
              <w:bottom w:w="60" w:type="dxa"/>
              <w:left w:w="80" w:type="dxa"/>
              <w:right w:w="80" w:type="dxa"/>
            </w:tcMar>
          </w:tcPr>
          <w:p>
            <w:pPr>
              <w:jc w:val="center"/>
            </w:pPr>
            <w:r>
              <w:rPr>
                <w:rFonts w:ascii="Times New Roman" w:hAnsi="Times New Roman"/>
                <w:sz w:val="19"/>
              </w:rPr>
              <w:t>2019</w:t>
            </w:r>
          </w:p>
        </w:tc>
        <w:tc>
          <w:tcPr>
            <w:tcW w:type="dxa" w:w="1512"/>
            <w:tcMar>
              <w:top w:w="60" w:type="dxa"/>
              <w:bottom w:w="60" w:type="dxa"/>
              <w:left w:w="80" w:type="dxa"/>
              <w:right w:w="80" w:type="dxa"/>
            </w:tcMar>
          </w:tcPr>
          <w:p>
            <w:pPr>
              <w:jc w:val="right"/>
            </w:pPr>
            <w:r>
              <w:rPr>
                <w:rFonts w:ascii="Times New Roman" w:hAnsi="Times New Roman"/>
                <w:sz w:val="19"/>
              </w:rPr>
              <w:t>20,00</w:t>
            </w:r>
          </w:p>
        </w:tc>
        <w:tc>
          <w:tcPr>
            <w:tcW w:type="dxa" w:w="1512"/>
            <w:tcMar>
              <w:top w:w="60" w:type="dxa"/>
              <w:bottom w:w="60" w:type="dxa"/>
              <w:left w:w="80" w:type="dxa"/>
              <w:right w:w="80" w:type="dxa"/>
            </w:tcMar>
          </w:tcPr>
          <w:p>
            <w:pPr>
              <w:jc w:val="center"/>
            </w:pPr>
            <w:r>
              <w:rPr>
                <w:rFonts w:ascii="Times New Roman" w:hAnsi="Times New Roman"/>
                <w:sz w:val="19"/>
              </w:rPr>
              <w:t>01</w:t>
            </w:r>
          </w:p>
        </w:tc>
        <w:tc>
          <w:tcPr>
            <w:tcW w:type="dxa" w:w="1512"/>
            <w:tcMar>
              <w:top w:w="60" w:type="dxa"/>
              <w:bottom w:w="60" w:type="dxa"/>
              <w:left w:w="80" w:type="dxa"/>
              <w:right w:w="80" w:type="dxa"/>
            </w:tcMar>
          </w:tcPr>
          <w:p>
            <w:pPr>
              <w:jc w:val="left"/>
            </w:pPr>
            <w:r>
              <w:rPr>
                <w:rFonts w:ascii="Times New Roman" w:hAnsi="Times New Roman"/>
                <w:sz w:val="19"/>
              </w:rPr>
              <w:t>Trụ sở chính tầng 2</w:t>
            </w:r>
          </w:p>
        </w:tc>
      </w:tr>
      <w:tr>
        <w:tc>
          <w:tcPr>
            <w:tcW w:type="dxa" w:w="1512"/>
            <w:tcMar>
              <w:top w:w="60" w:type="dxa"/>
              <w:bottom w:w="60" w:type="dxa"/>
              <w:left w:w="80" w:type="dxa"/>
              <w:right w:w="80" w:type="dxa"/>
            </w:tcMar>
          </w:tcPr>
          <w:p>
            <w:pPr>
              <w:jc w:val="center"/>
            </w:pPr>
            <w:r>
              <w:rPr>
                <w:rFonts w:ascii="Times New Roman" w:hAnsi="Times New Roman"/>
                <w:sz w:val="19"/>
              </w:rPr>
              <w:t>3</w:t>
            </w:r>
          </w:p>
        </w:tc>
        <w:tc>
          <w:tcPr>
            <w:tcW w:type="dxa" w:w="1512"/>
            <w:tcMar>
              <w:top w:w="60" w:type="dxa"/>
              <w:bottom w:w="60" w:type="dxa"/>
              <w:left w:w="80" w:type="dxa"/>
              <w:right w:w="80" w:type="dxa"/>
            </w:tcMar>
          </w:tcPr>
          <w:p>
            <w:pPr>
              <w:jc w:val="left"/>
            </w:pPr>
            <w:r>
              <w:rPr>
                <w:rFonts w:ascii="Times New Roman" w:hAnsi="Times New Roman"/>
                <w:sz w:val="19"/>
              </w:rPr>
              <w:t>Phòng làm việc Phó Giám đốc Chi nhánh (Cs2)</w:t>
            </w:r>
          </w:p>
        </w:tc>
        <w:tc>
          <w:tcPr>
            <w:tcW w:type="dxa" w:w="1512"/>
            <w:tcMar>
              <w:top w:w="60" w:type="dxa"/>
              <w:bottom w:w="60" w:type="dxa"/>
              <w:left w:w="80" w:type="dxa"/>
              <w:right w:w="80" w:type="dxa"/>
            </w:tcMar>
          </w:tcPr>
          <w:p>
            <w:pPr>
              <w:jc w:val="center"/>
            </w:pPr>
            <w:r>
              <w:rPr>
                <w:rFonts w:ascii="Times New Roman" w:hAnsi="Times New Roman"/>
                <w:sz w:val="19"/>
              </w:rPr>
              <w:t>2019</w:t>
            </w:r>
          </w:p>
        </w:tc>
        <w:tc>
          <w:tcPr>
            <w:tcW w:type="dxa" w:w="1512"/>
            <w:tcMar>
              <w:top w:w="60" w:type="dxa"/>
              <w:bottom w:w="60" w:type="dxa"/>
              <w:left w:w="80" w:type="dxa"/>
              <w:right w:w="80" w:type="dxa"/>
            </w:tcMar>
          </w:tcPr>
          <w:p>
            <w:pPr>
              <w:jc w:val="right"/>
            </w:pPr>
            <w:r>
              <w:rPr>
                <w:rFonts w:ascii="Times New Roman" w:hAnsi="Times New Roman"/>
                <w:sz w:val="19"/>
              </w:rPr>
              <w:t>20,00</w:t>
            </w:r>
          </w:p>
        </w:tc>
        <w:tc>
          <w:tcPr>
            <w:tcW w:type="dxa" w:w="1512"/>
            <w:tcMar>
              <w:top w:w="60" w:type="dxa"/>
              <w:bottom w:w="60" w:type="dxa"/>
              <w:left w:w="80" w:type="dxa"/>
              <w:right w:w="80" w:type="dxa"/>
            </w:tcMar>
          </w:tcPr>
          <w:p>
            <w:pPr>
              <w:jc w:val="center"/>
            </w:pPr>
            <w:r>
              <w:rPr>
                <w:rFonts w:ascii="Times New Roman" w:hAnsi="Times New Roman"/>
                <w:sz w:val="19"/>
              </w:rPr>
              <w:t>01</w:t>
            </w:r>
          </w:p>
        </w:tc>
        <w:tc>
          <w:tcPr>
            <w:tcW w:type="dxa" w:w="1512"/>
            <w:tcMar>
              <w:top w:w="60" w:type="dxa"/>
              <w:bottom w:w="60" w:type="dxa"/>
              <w:left w:w="80" w:type="dxa"/>
              <w:right w:w="80" w:type="dxa"/>
            </w:tcMar>
          </w:tcPr>
          <w:p>
            <w:pPr>
              <w:jc w:val="left"/>
            </w:pPr>
            <w:r>
              <w:rPr>
                <w:rFonts w:ascii="Times New Roman" w:hAnsi="Times New Roman"/>
                <w:sz w:val="19"/>
              </w:rPr>
              <w:t>Trụ sở chính tầng 2</w:t>
            </w:r>
          </w:p>
        </w:tc>
      </w:tr>
      <w:tr>
        <w:tc>
          <w:tcPr>
            <w:tcW w:type="dxa" w:w="1512"/>
            <w:tcMar>
              <w:top w:w="60" w:type="dxa"/>
              <w:bottom w:w="60" w:type="dxa"/>
              <w:left w:w="80" w:type="dxa"/>
              <w:right w:w="80" w:type="dxa"/>
            </w:tcMar>
          </w:tcPr>
          <w:p>
            <w:pPr>
              <w:jc w:val="center"/>
            </w:pPr>
            <w:r>
              <w:rPr>
                <w:rFonts w:ascii="Times New Roman" w:hAnsi="Times New Roman"/>
                <w:sz w:val="19"/>
              </w:rPr>
              <w:t>4</w:t>
            </w:r>
          </w:p>
        </w:tc>
        <w:tc>
          <w:tcPr>
            <w:tcW w:type="dxa" w:w="1512"/>
            <w:tcMar>
              <w:top w:w="60" w:type="dxa"/>
              <w:bottom w:w="60" w:type="dxa"/>
              <w:left w:w="80" w:type="dxa"/>
              <w:right w:w="80" w:type="dxa"/>
            </w:tcMar>
          </w:tcPr>
          <w:p>
            <w:pPr>
              <w:jc w:val="left"/>
            </w:pPr>
            <w:r>
              <w:rPr>
                <w:rFonts w:ascii="Times New Roman" w:hAnsi="Times New Roman"/>
                <w:sz w:val="19"/>
              </w:rPr>
              <w:t>Phòng làm việc Tổ Hành chính - Tổng hợp</w:t>
            </w:r>
          </w:p>
        </w:tc>
        <w:tc>
          <w:tcPr>
            <w:tcW w:type="dxa" w:w="1512"/>
            <w:tcMar>
              <w:top w:w="60" w:type="dxa"/>
              <w:bottom w:w="60" w:type="dxa"/>
              <w:left w:w="80" w:type="dxa"/>
              <w:right w:w="80" w:type="dxa"/>
            </w:tcMar>
          </w:tcPr>
          <w:p>
            <w:pPr>
              <w:jc w:val="center"/>
            </w:pPr>
            <w:r>
              <w:rPr>
                <w:rFonts w:ascii="Times New Roman" w:hAnsi="Times New Roman"/>
                <w:sz w:val="19"/>
              </w:rPr>
              <w:t>2019</w:t>
            </w:r>
          </w:p>
        </w:tc>
        <w:tc>
          <w:tcPr>
            <w:tcW w:type="dxa" w:w="1512"/>
            <w:tcMar>
              <w:top w:w="60" w:type="dxa"/>
              <w:bottom w:w="60" w:type="dxa"/>
              <w:left w:w="80" w:type="dxa"/>
              <w:right w:w="80" w:type="dxa"/>
            </w:tcMar>
          </w:tcPr>
          <w:p>
            <w:pPr>
              <w:jc w:val="right"/>
            </w:pPr>
            <w:r>
              <w:rPr>
                <w:rFonts w:ascii="Times New Roman" w:hAnsi="Times New Roman"/>
                <w:sz w:val="19"/>
              </w:rPr>
              <w:t>55,00</w:t>
            </w:r>
          </w:p>
        </w:tc>
        <w:tc>
          <w:tcPr>
            <w:tcW w:type="dxa" w:w="1512"/>
            <w:tcMar>
              <w:top w:w="60" w:type="dxa"/>
              <w:bottom w:w="60" w:type="dxa"/>
              <w:left w:w="80" w:type="dxa"/>
              <w:right w:w="80" w:type="dxa"/>
            </w:tcMar>
          </w:tcPr>
          <w:p>
            <w:pPr>
              <w:jc w:val="center"/>
            </w:pPr>
            <w:r>
              <w:rPr>
                <w:rFonts w:ascii="Times New Roman" w:hAnsi="Times New Roman"/>
                <w:sz w:val="19"/>
              </w:rPr>
              <w:t>13</w:t>
            </w:r>
          </w:p>
        </w:tc>
        <w:tc>
          <w:tcPr>
            <w:tcW w:type="dxa" w:w="1512"/>
            <w:tcMar>
              <w:top w:w="60" w:type="dxa"/>
              <w:bottom w:w="60" w:type="dxa"/>
              <w:left w:w="80" w:type="dxa"/>
              <w:right w:w="80" w:type="dxa"/>
            </w:tcMar>
          </w:tcPr>
          <w:p>
            <w:pPr>
              <w:jc w:val="left"/>
            </w:pPr>
            <w:r>
              <w:rPr>
                <w:rFonts w:ascii="Times New Roman" w:hAnsi="Times New Roman"/>
                <w:sz w:val="19"/>
              </w:rPr>
              <w:t>Kế toán, văn thư, tổng hợp</w:t>
            </w:r>
          </w:p>
        </w:tc>
      </w:tr>
      <w:tr>
        <w:tc>
          <w:tcPr>
            <w:tcW w:type="dxa" w:w="1512"/>
            <w:tcMar>
              <w:top w:w="60" w:type="dxa"/>
              <w:bottom w:w="60" w:type="dxa"/>
              <w:left w:w="80" w:type="dxa"/>
              <w:right w:w="80" w:type="dxa"/>
            </w:tcMar>
          </w:tcPr>
          <w:p>
            <w:pPr>
              <w:jc w:val="center"/>
            </w:pPr>
            <w:r>
              <w:rPr>
                <w:rFonts w:ascii="Times New Roman" w:hAnsi="Times New Roman"/>
                <w:sz w:val="19"/>
              </w:rPr>
              <w:t>5</w:t>
            </w:r>
          </w:p>
        </w:tc>
        <w:tc>
          <w:tcPr>
            <w:tcW w:type="dxa" w:w="1512"/>
            <w:tcMar>
              <w:top w:w="60" w:type="dxa"/>
              <w:bottom w:w="60" w:type="dxa"/>
              <w:left w:w="80" w:type="dxa"/>
              <w:right w:w="80" w:type="dxa"/>
            </w:tcMar>
          </w:tcPr>
          <w:p>
            <w:pPr>
              <w:jc w:val="left"/>
            </w:pPr>
            <w:r>
              <w:rPr>
                <w:rFonts w:ascii="Times New Roman" w:hAnsi="Times New Roman"/>
                <w:sz w:val="19"/>
              </w:rPr>
              <w:t>Phòng làm việc Tổ Đăng ký &amp; Cấp GCN (Cs1)</w:t>
            </w:r>
          </w:p>
        </w:tc>
        <w:tc>
          <w:tcPr>
            <w:tcW w:type="dxa" w:w="1512"/>
            <w:tcMar>
              <w:top w:w="60" w:type="dxa"/>
              <w:bottom w:w="60" w:type="dxa"/>
              <w:left w:w="80" w:type="dxa"/>
              <w:right w:w="80" w:type="dxa"/>
            </w:tcMar>
          </w:tcPr>
          <w:p>
            <w:pPr>
              <w:jc w:val="center"/>
            </w:pPr>
            <w:r>
              <w:rPr>
                <w:rFonts w:ascii="Times New Roman" w:hAnsi="Times New Roman"/>
                <w:sz w:val="19"/>
              </w:rPr>
              <w:t>2019</w:t>
            </w:r>
          </w:p>
        </w:tc>
        <w:tc>
          <w:tcPr>
            <w:tcW w:type="dxa" w:w="1512"/>
            <w:tcMar>
              <w:top w:w="60" w:type="dxa"/>
              <w:bottom w:w="60" w:type="dxa"/>
              <w:left w:w="80" w:type="dxa"/>
              <w:right w:w="80" w:type="dxa"/>
            </w:tcMar>
          </w:tcPr>
          <w:p>
            <w:pPr>
              <w:jc w:val="right"/>
            </w:pPr>
            <w:r>
              <w:rPr>
                <w:rFonts w:ascii="Times New Roman" w:hAnsi="Times New Roman"/>
                <w:sz w:val="19"/>
              </w:rPr>
              <w:t>95,00</w:t>
            </w:r>
          </w:p>
        </w:tc>
        <w:tc>
          <w:tcPr>
            <w:tcW w:type="dxa" w:w="1512"/>
            <w:tcMar>
              <w:top w:w="60" w:type="dxa"/>
              <w:bottom w:w="60" w:type="dxa"/>
              <w:left w:w="80" w:type="dxa"/>
              <w:right w:w="80" w:type="dxa"/>
            </w:tcMar>
          </w:tcPr>
          <w:p>
            <w:pPr>
              <w:jc w:val="center"/>
            </w:pPr>
            <w:r>
              <w:rPr>
                <w:rFonts w:ascii="Times New Roman" w:hAnsi="Times New Roman"/>
                <w:sz w:val="19"/>
              </w:rPr>
              <w:t>22</w:t>
            </w:r>
          </w:p>
        </w:tc>
        <w:tc>
          <w:tcPr>
            <w:tcW w:type="dxa" w:w="1512"/>
            <w:tcMar>
              <w:top w:w="60" w:type="dxa"/>
              <w:bottom w:w="60" w:type="dxa"/>
              <w:left w:w="80" w:type="dxa"/>
              <w:right w:w="80" w:type="dxa"/>
            </w:tcMar>
          </w:tcPr>
          <w:p>
            <w:pPr>
              <w:jc w:val="left"/>
            </w:pPr>
            <w:r>
              <w:rPr>
                <w:rFonts w:ascii="Times New Roman" w:hAnsi="Times New Roman"/>
                <w:sz w:val="19"/>
              </w:rPr>
              <w:t>Bộ phận nghiệp vụ cấp GCN</w:t>
            </w:r>
          </w:p>
        </w:tc>
      </w:tr>
      <w:tr>
        <w:tc>
          <w:tcPr>
            <w:tcW w:type="dxa" w:w="1512"/>
            <w:tcMar>
              <w:top w:w="60" w:type="dxa"/>
              <w:bottom w:w="60" w:type="dxa"/>
              <w:left w:w="80" w:type="dxa"/>
              <w:right w:w="80" w:type="dxa"/>
            </w:tcMar>
          </w:tcPr>
          <w:p>
            <w:pPr>
              <w:jc w:val="center"/>
            </w:pPr>
            <w:r>
              <w:rPr>
                <w:rFonts w:ascii="Times New Roman" w:hAnsi="Times New Roman"/>
                <w:sz w:val="19"/>
              </w:rPr>
              <w:t>6</w:t>
            </w:r>
          </w:p>
        </w:tc>
        <w:tc>
          <w:tcPr>
            <w:tcW w:type="dxa" w:w="1512"/>
            <w:tcMar>
              <w:top w:w="60" w:type="dxa"/>
              <w:bottom w:w="60" w:type="dxa"/>
              <w:left w:w="80" w:type="dxa"/>
              <w:right w:w="80" w:type="dxa"/>
            </w:tcMar>
          </w:tcPr>
          <w:p>
            <w:pPr>
              <w:jc w:val="left"/>
            </w:pPr>
            <w:r>
              <w:rPr>
                <w:rFonts w:ascii="Times New Roman" w:hAnsi="Times New Roman"/>
                <w:sz w:val="19"/>
              </w:rPr>
              <w:t>Phòng làm việc Tổ Đăng ký &amp; Cấp GCN (Cs2)</w:t>
            </w:r>
          </w:p>
        </w:tc>
        <w:tc>
          <w:tcPr>
            <w:tcW w:type="dxa" w:w="1512"/>
            <w:tcMar>
              <w:top w:w="60" w:type="dxa"/>
              <w:bottom w:w="60" w:type="dxa"/>
              <w:left w:w="80" w:type="dxa"/>
              <w:right w:w="80" w:type="dxa"/>
            </w:tcMar>
          </w:tcPr>
          <w:p>
            <w:pPr>
              <w:jc w:val="center"/>
            </w:pPr>
            <w:r>
              <w:rPr>
                <w:rFonts w:ascii="Times New Roman" w:hAnsi="Times New Roman"/>
                <w:sz w:val="19"/>
              </w:rPr>
              <w:t>2019</w:t>
            </w:r>
          </w:p>
        </w:tc>
        <w:tc>
          <w:tcPr>
            <w:tcW w:type="dxa" w:w="1512"/>
            <w:tcMar>
              <w:top w:w="60" w:type="dxa"/>
              <w:bottom w:w="60" w:type="dxa"/>
              <w:left w:w="80" w:type="dxa"/>
              <w:right w:w="80" w:type="dxa"/>
            </w:tcMar>
          </w:tcPr>
          <w:p>
            <w:pPr>
              <w:jc w:val="right"/>
            </w:pPr>
            <w:r>
              <w:rPr>
                <w:rFonts w:ascii="Times New Roman" w:hAnsi="Times New Roman"/>
                <w:sz w:val="19"/>
              </w:rPr>
              <w:t>90,00</w:t>
            </w:r>
          </w:p>
        </w:tc>
        <w:tc>
          <w:tcPr>
            <w:tcW w:type="dxa" w:w="1512"/>
            <w:tcMar>
              <w:top w:w="60" w:type="dxa"/>
              <w:bottom w:w="60" w:type="dxa"/>
              <w:left w:w="80" w:type="dxa"/>
              <w:right w:w="80" w:type="dxa"/>
            </w:tcMar>
          </w:tcPr>
          <w:p>
            <w:pPr>
              <w:jc w:val="center"/>
            </w:pPr>
            <w:r>
              <w:rPr>
                <w:rFonts w:ascii="Times New Roman" w:hAnsi="Times New Roman"/>
                <w:sz w:val="19"/>
              </w:rPr>
              <w:t>20</w:t>
            </w:r>
          </w:p>
        </w:tc>
        <w:tc>
          <w:tcPr>
            <w:tcW w:type="dxa" w:w="1512"/>
            <w:tcMar>
              <w:top w:w="60" w:type="dxa"/>
              <w:bottom w:w="60" w:type="dxa"/>
              <w:left w:w="80" w:type="dxa"/>
              <w:right w:w="80" w:type="dxa"/>
            </w:tcMar>
          </w:tcPr>
          <w:p>
            <w:pPr>
              <w:jc w:val="left"/>
            </w:pPr>
            <w:r>
              <w:rPr>
                <w:rFonts w:ascii="Times New Roman" w:hAnsi="Times New Roman"/>
                <w:sz w:val="19"/>
              </w:rPr>
              <w:t>Nghiệp vụ biến động, GDBĐ</w:t>
            </w:r>
          </w:p>
        </w:tc>
      </w:tr>
      <w:tr>
        <w:tc>
          <w:tcPr>
            <w:tcW w:type="dxa" w:w="1512"/>
            <w:tcMar>
              <w:top w:w="60" w:type="dxa"/>
              <w:bottom w:w="60" w:type="dxa"/>
              <w:left w:w="80" w:type="dxa"/>
              <w:right w:w="80" w:type="dxa"/>
            </w:tcMar>
          </w:tcPr>
          <w:p>
            <w:pPr>
              <w:jc w:val="center"/>
            </w:pPr>
            <w:r>
              <w:rPr>
                <w:rFonts w:ascii="Times New Roman" w:hAnsi="Times New Roman"/>
                <w:sz w:val="19"/>
              </w:rPr>
              <w:t>7</w:t>
            </w:r>
          </w:p>
        </w:tc>
        <w:tc>
          <w:tcPr>
            <w:tcW w:type="dxa" w:w="1512"/>
            <w:tcMar>
              <w:top w:w="60" w:type="dxa"/>
              <w:bottom w:w="60" w:type="dxa"/>
              <w:left w:w="80" w:type="dxa"/>
              <w:right w:w="80" w:type="dxa"/>
            </w:tcMar>
          </w:tcPr>
          <w:p>
            <w:pPr>
              <w:jc w:val="left"/>
            </w:pPr>
            <w:r>
              <w:rPr>
                <w:rFonts w:ascii="Times New Roman" w:hAnsi="Times New Roman"/>
                <w:sz w:val="19"/>
              </w:rPr>
              <w:t>Phòng làm việc Tổ Kỹ thuật địa chính (Cs1)</w:t>
            </w:r>
          </w:p>
        </w:tc>
        <w:tc>
          <w:tcPr>
            <w:tcW w:type="dxa" w:w="1512"/>
            <w:tcMar>
              <w:top w:w="60" w:type="dxa"/>
              <w:bottom w:w="60" w:type="dxa"/>
              <w:left w:w="80" w:type="dxa"/>
              <w:right w:w="80" w:type="dxa"/>
            </w:tcMar>
          </w:tcPr>
          <w:p>
            <w:pPr>
              <w:jc w:val="center"/>
            </w:pPr>
            <w:r>
              <w:rPr>
                <w:rFonts w:ascii="Times New Roman" w:hAnsi="Times New Roman"/>
                <w:sz w:val="19"/>
              </w:rPr>
              <w:t>2019</w:t>
            </w:r>
          </w:p>
        </w:tc>
        <w:tc>
          <w:tcPr>
            <w:tcW w:type="dxa" w:w="1512"/>
            <w:tcMar>
              <w:top w:w="60" w:type="dxa"/>
              <w:bottom w:w="60" w:type="dxa"/>
              <w:left w:w="80" w:type="dxa"/>
              <w:right w:w="80" w:type="dxa"/>
            </w:tcMar>
          </w:tcPr>
          <w:p>
            <w:pPr>
              <w:jc w:val="right"/>
            </w:pPr>
            <w:r>
              <w:rPr>
                <w:rFonts w:ascii="Times New Roman" w:hAnsi="Times New Roman"/>
                <w:sz w:val="19"/>
              </w:rPr>
              <w:t>85,00</w:t>
            </w:r>
          </w:p>
        </w:tc>
        <w:tc>
          <w:tcPr>
            <w:tcW w:type="dxa" w:w="1512"/>
            <w:tcMar>
              <w:top w:w="60" w:type="dxa"/>
              <w:bottom w:w="60" w:type="dxa"/>
              <w:left w:w="80" w:type="dxa"/>
              <w:right w:w="80" w:type="dxa"/>
            </w:tcMar>
          </w:tcPr>
          <w:p>
            <w:pPr>
              <w:jc w:val="center"/>
            </w:pPr>
            <w:r>
              <w:rPr>
                <w:rFonts w:ascii="Times New Roman" w:hAnsi="Times New Roman"/>
                <w:sz w:val="19"/>
              </w:rPr>
              <w:t>14</w:t>
            </w:r>
          </w:p>
        </w:tc>
        <w:tc>
          <w:tcPr>
            <w:tcW w:type="dxa" w:w="1512"/>
            <w:tcMar>
              <w:top w:w="60" w:type="dxa"/>
              <w:bottom w:w="60" w:type="dxa"/>
              <w:left w:w="80" w:type="dxa"/>
              <w:right w:w="80" w:type="dxa"/>
            </w:tcMar>
          </w:tcPr>
          <w:p>
            <w:pPr>
              <w:jc w:val="left"/>
            </w:pPr>
            <w:r>
              <w:rPr>
                <w:rFonts w:ascii="Times New Roman" w:hAnsi="Times New Roman"/>
                <w:sz w:val="19"/>
              </w:rPr>
              <w:t>Nghiệp vụ bản đồ, đo đạc</w:t>
            </w:r>
          </w:p>
        </w:tc>
      </w:tr>
      <w:tr>
        <w:tc>
          <w:tcPr>
            <w:tcW w:type="dxa" w:w="1512"/>
            <w:tcMar>
              <w:top w:w="60" w:type="dxa"/>
              <w:bottom w:w="60" w:type="dxa"/>
              <w:left w:w="80" w:type="dxa"/>
              <w:right w:w="80" w:type="dxa"/>
            </w:tcMar>
          </w:tcPr>
          <w:p>
            <w:pPr>
              <w:jc w:val="center"/>
            </w:pPr>
            <w:r>
              <w:rPr>
                <w:rFonts w:ascii="Times New Roman" w:hAnsi="Times New Roman"/>
                <w:sz w:val="19"/>
              </w:rPr>
              <w:t>8</w:t>
            </w:r>
          </w:p>
        </w:tc>
        <w:tc>
          <w:tcPr>
            <w:tcW w:type="dxa" w:w="1512"/>
            <w:tcMar>
              <w:top w:w="60" w:type="dxa"/>
              <w:bottom w:w="60" w:type="dxa"/>
              <w:left w:w="80" w:type="dxa"/>
              <w:right w:w="80" w:type="dxa"/>
            </w:tcMar>
          </w:tcPr>
          <w:p>
            <w:pPr>
              <w:jc w:val="left"/>
            </w:pPr>
            <w:r>
              <w:rPr>
                <w:rFonts w:ascii="Times New Roman" w:hAnsi="Times New Roman"/>
                <w:sz w:val="19"/>
              </w:rPr>
              <w:t>Phòng làm việc Tổ Kỹ thuật địa chính (Cs2)</w:t>
            </w:r>
          </w:p>
        </w:tc>
        <w:tc>
          <w:tcPr>
            <w:tcW w:type="dxa" w:w="1512"/>
            <w:tcMar>
              <w:top w:w="60" w:type="dxa"/>
              <w:bottom w:w="60" w:type="dxa"/>
              <w:left w:w="80" w:type="dxa"/>
              <w:right w:w="80" w:type="dxa"/>
            </w:tcMar>
          </w:tcPr>
          <w:p>
            <w:pPr>
              <w:jc w:val="center"/>
            </w:pPr>
            <w:r>
              <w:rPr>
                <w:rFonts w:ascii="Times New Roman" w:hAnsi="Times New Roman"/>
                <w:sz w:val="19"/>
              </w:rPr>
              <w:t>2019</w:t>
            </w:r>
          </w:p>
        </w:tc>
        <w:tc>
          <w:tcPr>
            <w:tcW w:type="dxa" w:w="1512"/>
            <w:tcMar>
              <w:top w:w="60" w:type="dxa"/>
              <w:bottom w:w="60" w:type="dxa"/>
              <w:left w:w="80" w:type="dxa"/>
              <w:right w:w="80" w:type="dxa"/>
            </w:tcMar>
          </w:tcPr>
          <w:p>
            <w:pPr>
              <w:jc w:val="right"/>
            </w:pPr>
            <w:r>
              <w:rPr>
                <w:rFonts w:ascii="Times New Roman" w:hAnsi="Times New Roman"/>
                <w:sz w:val="19"/>
              </w:rPr>
              <w:t>60,00</w:t>
            </w:r>
          </w:p>
        </w:tc>
        <w:tc>
          <w:tcPr>
            <w:tcW w:type="dxa" w:w="1512"/>
            <w:tcMar>
              <w:top w:w="60" w:type="dxa"/>
              <w:bottom w:w="60" w:type="dxa"/>
              <w:left w:w="80" w:type="dxa"/>
              <w:right w:w="80" w:type="dxa"/>
            </w:tcMar>
          </w:tcPr>
          <w:p>
            <w:pPr>
              <w:jc w:val="center"/>
            </w:pPr>
            <w:r>
              <w:rPr>
                <w:rFonts w:ascii="Times New Roman" w:hAnsi="Times New Roman"/>
                <w:sz w:val="19"/>
              </w:rPr>
              <w:t>10</w:t>
            </w:r>
          </w:p>
        </w:tc>
        <w:tc>
          <w:tcPr>
            <w:tcW w:type="dxa" w:w="1512"/>
            <w:tcMar>
              <w:top w:w="60" w:type="dxa"/>
              <w:bottom w:w="60" w:type="dxa"/>
              <w:left w:w="80" w:type="dxa"/>
              <w:right w:w="80" w:type="dxa"/>
            </w:tcMar>
          </w:tcPr>
          <w:p>
            <w:pPr>
              <w:jc w:val="left"/>
            </w:pPr>
            <w:r>
              <w:rPr>
                <w:rFonts w:ascii="Times New Roman" w:hAnsi="Times New Roman"/>
                <w:sz w:val="19"/>
              </w:rPr>
              <w:t>Kiểm tra trích đo, trích lục</w:t>
            </w:r>
          </w:p>
        </w:tc>
      </w:tr>
      <w:tr>
        <w:tc>
          <w:tcPr>
            <w:tcW w:type="dxa" w:w="1512"/>
            <w:tcMar>
              <w:top w:w="60" w:type="dxa"/>
              <w:bottom w:w="60" w:type="dxa"/>
              <w:left w:w="80" w:type="dxa"/>
              <w:right w:w="80" w:type="dxa"/>
            </w:tcMar>
          </w:tcPr>
          <w:p>
            <w:pPr>
              <w:jc w:val="center"/>
            </w:pPr>
            <w:r>
              <w:rPr>
                <w:rFonts w:ascii="Times New Roman" w:hAnsi="Times New Roman"/>
                <w:sz w:val="19"/>
              </w:rPr>
              <w:t>9</w:t>
            </w:r>
          </w:p>
        </w:tc>
        <w:tc>
          <w:tcPr>
            <w:tcW w:type="dxa" w:w="1512"/>
            <w:tcMar>
              <w:top w:w="60" w:type="dxa"/>
              <w:bottom w:w="60" w:type="dxa"/>
              <w:left w:w="80" w:type="dxa"/>
              <w:right w:w="80" w:type="dxa"/>
            </w:tcMar>
          </w:tcPr>
          <w:p>
            <w:pPr>
              <w:jc w:val="left"/>
            </w:pPr>
            <w:r>
              <w:rPr>
                <w:rFonts w:ascii="Times New Roman" w:hAnsi="Times New Roman"/>
                <w:sz w:val="19"/>
              </w:rPr>
              <w:t>Bộ phận Một cửa tiếp nhận &amp; trả kết quả</w:t>
            </w:r>
          </w:p>
        </w:tc>
        <w:tc>
          <w:tcPr>
            <w:tcW w:type="dxa" w:w="1512"/>
            <w:tcMar>
              <w:top w:w="60" w:type="dxa"/>
              <w:bottom w:w="60" w:type="dxa"/>
              <w:left w:w="80" w:type="dxa"/>
              <w:right w:w="80" w:type="dxa"/>
            </w:tcMar>
          </w:tcPr>
          <w:p>
            <w:pPr>
              <w:jc w:val="center"/>
            </w:pPr>
            <w:r>
              <w:rPr>
                <w:rFonts w:ascii="Times New Roman" w:hAnsi="Times New Roman"/>
                <w:sz w:val="19"/>
              </w:rPr>
              <w:t>2019</w:t>
            </w:r>
          </w:p>
        </w:tc>
        <w:tc>
          <w:tcPr>
            <w:tcW w:type="dxa" w:w="1512"/>
            <w:tcMar>
              <w:top w:w="60" w:type="dxa"/>
              <w:bottom w:w="60" w:type="dxa"/>
              <w:left w:w="80" w:type="dxa"/>
              <w:right w:w="80" w:type="dxa"/>
            </w:tcMar>
          </w:tcPr>
          <w:p>
            <w:pPr>
              <w:jc w:val="right"/>
            </w:pPr>
            <w:r>
              <w:rPr>
                <w:rFonts w:ascii="Times New Roman" w:hAnsi="Times New Roman"/>
                <w:sz w:val="19"/>
              </w:rPr>
              <w:t>26,00</w:t>
            </w:r>
          </w:p>
        </w:tc>
        <w:tc>
          <w:tcPr>
            <w:tcW w:type="dxa" w:w="1512"/>
            <w:tcMar>
              <w:top w:w="60" w:type="dxa"/>
              <w:bottom w:w="60" w:type="dxa"/>
              <w:left w:w="80" w:type="dxa"/>
              <w:right w:w="80" w:type="dxa"/>
            </w:tcMar>
          </w:tcPr>
          <w:p>
            <w:pPr>
              <w:jc w:val="center"/>
            </w:pPr>
            <w:r>
              <w:rPr>
                <w:rFonts w:ascii="Times New Roman" w:hAnsi="Times New Roman"/>
                <w:sz w:val="19"/>
              </w:rPr>
              <w:t>06</w:t>
            </w:r>
          </w:p>
        </w:tc>
        <w:tc>
          <w:tcPr>
            <w:tcW w:type="dxa" w:w="1512"/>
            <w:tcMar>
              <w:top w:w="60" w:type="dxa"/>
              <w:bottom w:w="60" w:type="dxa"/>
              <w:left w:w="80" w:type="dxa"/>
              <w:right w:w="80" w:type="dxa"/>
            </w:tcMar>
          </w:tcPr>
          <w:p>
            <w:pPr>
              <w:jc w:val="left"/>
            </w:pPr>
            <w:r>
              <w:rPr>
                <w:rFonts w:ascii="Times New Roman" w:hAnsi="Times New Roman"/>
                <w:sz w:val="19"/>
              </w:rPr>
              <w:t>Khối nhà tiếp dân riêng</w:t>
            </w:r>
          </w:p>
        </w:tc>
      </w:tr>
      <w:tr>
        <w:tc>
          <w:tcPr>
            <w:tcW w:type="dxa" w:w="1512"/>
            <w:tcMar>
              <w:top w:w="60" w:type="dxa"/>
              <w:bottom w:w="60" w:type="dxa"/>
              <w:left w:w="80" w:type="dxa"/>
              <w:right w:w="80" w:type="dxa"/>
            </w:tcMar>
          </w:tcPr>
          <w:p>
            <w:pPr>
              <w:jc w:val="center"/>
            </w:pPr>
            <w:r>
              <w:rPr>
                <w:rFonts w:ascii="Times New Roman" w:hAnsi="Times New Roman"/>
                <w:sz w:val="19"/>
              </w:rPr>
              <w:t>10</w:t>
            </w:r>
          </w:p>
        </w:tc>
        <w:tc>
          <w:tcPr>
            <w:tcW w:type="dxa" w:w="1512"/>
            <w:tcMar>
              <w:top w:w="60" w:type="dxa"/>
              <w:bottom w:w="60" w:type="dxa"/>
              <w:left w:w="80" w:type="dxa"/>
              <w:right w:w="80" w:type="dxa"/>
            </w:tcMar>
          </w:tcPr>
          <w:p>
            <w:pPr>
              <w:jc w:val="left"/>
            </w:pPr>
            <w:r>
              <w:rPr>
                <w:rFonts w:ascii="Times New Roman" w:hAnsi="Times New Roman"/>
                <w:sz w:val="19"/>
              </w:rPr>
              <w:t>Phòng họp chuyên môn kết hợp tiếp dân</w:t>
            </w:r>
          </w:p>
        </w:tc>
        <w:tc>
          <w:tcPr>
            <w:tcW w:type="dxa" w:w="1512"/>
            <w:tcMar>
              <w:top w:w="60" w:type="dxa"/>
              <w:bottom w:w="60" w:type="dxa"/>
              <w:left w:w="80" w:type="dxa"/>
              <w:right w:w="80" w:type="dxa"/>
            </w:tcMar>
          </w:tcPr>
          <w:p>
            <w:pPr>
              <w:jc w:val="center"/>
            </w:pPr>
            <w:r>
              <w:rPr>
                <w:rFonts w:ascii="Times New Roman" w:hAnsi="Times New Roman"/>
                <w:sz w:val="19"/>
              </w:rPr>
              <w:t>2019</w:t>
            </w:r>
          </w:p>
        </w:tc>
        <w:tc>
          <w:tcPr>
            <w:tcW w:type="dxa" w:w="1512"/>
            <w:tcMar>
              <w:top w:w="60" w:type="dxa"/>
              <w:bottom w:w="60" w:type="dxa"/>
              <w:left w:w="80" w:type="dxa"/>
              <w:right w:w="80" w:type="dxa"/>
            </w:tcMar>
          </w:tcPr>
          <w:p>
            <w:pPr>
              <w:jc w:val="right"/>
            </w:pPr>
            <w:r>
              <w:rPr>
                <w:rFonts w:ascii="Times New Roman" w:hAnsi="Times New Roman"/>
                <w:sz w:val="19"/>
              </w:rPr>
              <w:t>26,00</w:t>
            </w:r>
          </w:p>
        </w:tc>
        <w:tc>
          <w:tcPr>
            <w:tcW w:type="dxa" w:w="1512"/>
            <w:tcMar>
              <w:top w:w="60" w:type="dxa"/>
              <w:bottom w:w="60" w:type="dxa"/>
              <w:left w:w="80" w:type="dxa"/>
              <w:right w:w="80" w:type="dxa"/>
            </w:tcMar>
          </w:tcPr>
          <w:p>
            <w:pPr>
              <w:jc w:val="center"/>
            </w:pPr>
            <w:r>
              <w:rPr>
                <w:rFonts w:ascii="Times New Roman" w:hAnsi="Times New Roman"/>
                <w:sz w:val="19"/>
              </w:rPr>
              <w:t>-</w:t>
            </w:r>
          </w:p>
        </w:tc>
        <w:tc>
          <w:tcPr>
            <w:tcW w:type="dxa" w:w="1512"/>
            <w:tcMar>
              <w:top w:w="60" w:type="dxa"/>
              <w:bottom w:w="60" w:type="dxa"/>
              <w:left w:w="80" w:type="dxa"/>
              <w:right w:w="80" w:type="dxa"/>
            </w:tcMar>
          </w:tcPr>
          <w:p>
            <w:pPr>
              <w:jc w:val="left"/>
            </w:pPr>
            <w:r>
              <w:rPr>
                <w:rFonts w:ascii="Times New Roman" w:hAnsi="Times New Roman"/>
                <w:sz w:val="19"/>
              </w:rPr>
              <w:t>Dùng chung họp và đối thoại</w:t>
            </w:r>
          </w:p>
        </w:tc>
      </w:tr>
      <w:tr>
        <w:tc>
          <w:tcPr>
            <w:tcW w:type="dxa" w:w="1512"/>
            <w:tcMar>
              <w:top w:w="60" w:type="dxa"/>
              <w:bottom w:w="60" w:type="dxa"/>
              <w:left w:w="80" w:type="dxa"/>
              <w:right w:w="80" w:type="dxa"/>
            </w:tcMar>
          </w:tcPr>
          <w:p>
            <w:pPr>
              <w:jc w:val="center"/>
            </w:pPr>
            <w:r>
              <w:rPr>
                <w:rFonts w:ascii="Times New Roman" w:hAnsi="Times New Roman"/>
                <w:sz w:val="19"/>
              </w:rPr>
              <w:t>11</w:t>
            </w:r>
          </w:p>
        </w:tc>
        <w:tc>
          <w:tcPr>
            <w:tcW w:type="dxa" w:w="1512"/>
            <w:tcMar>
              <w:top w:w="60" w:type="dxa"/>
              <w:bottom w:w="60" w:type="dxa"/>
              <w:left w:w="80" w:type="dxa"/>
              <w:right w:w="80" w:type="dxa"/>
            </w:tcMar>
          </w:tcPr>
          <w:p>
            <w:pPr>
              <w:jc w:val="left"/>
            </w:pPr>
            <w:r>
              <w:rPr>
                <w:rFonts w:ascii="Times New Roman" w:hAnsi="Times New Roman"/>
                <w:sz w:val="19"/>
              </w:rPr>
              <w:t>Phòng máy chủ (Server) &amp; thiết bị CNTT</w:t>
            </w:r>
          </w:p>
        </w:tc>
        <w:tc>
          <w:tcPr>
            <w:tcW w:type="dxa" w:w="1512"/>
            <w:tcMar>
              <w:top w:w="60" w:type="dxa"/>
              <w:bottom w:w="60" w:type="dxa"/>
              <w:left w:w="80" w:type="dxa"/>
              <w:right w:w="80" w:type="dxa"/>
            </w:tcMar>
          </w:tcPr>
          <w:p>
            <w:pPr>
              <w:jc w:val="center"/>
            </w:pPr>
            <w:r>
              <w:rPr>
                <w:rFonts w:ascii="Times New Roman" w:hAnsi="Times New Roman"/>
                <w:sz w:val="19"/>
              </w:rPr>
              <w:t>2019</w:t>
            </w:r>
          </w:p>
        </w:tc>
        <w:tc>
          <w:tcPr>
            <w:tcW w:type="dxa" w:w="1512"/>
            <w:tcMar>
              <w:top w:w="60" w:type="dxa"/>
              <w:bottom w:w="60" w:type="dxa"/>
              <w:left w:w="80" w:type="dxa"/>
              <w:right w:w="80" w:type="dxa"/>
            </w:tcMar>
          </w:tcPr>
          <w:p>
            <w:pPr>
              <w:jc w:val="right"/>
            </w:pPr>
            <w:r>
              <w:rPr>
                <w:rFonts w:ascii="Times New Roman" w:hAnsi="Times New Roman"/>
                <w:sz w:val="19"/>
              </w:rPr>
              <w:t>15,00</w:t>
            </w:r>
          </w:p>
        </w:tc>
        <w:tc>
          <w:tcPr>
            <w:tcW w:type="dxa" w:w="1512"/>
            <w:tcMar>
              <w:top w:w="60" w:type="dxa"/>
              <w:bottom w:w="60" w:type="dxa"/>
              <w:left w:w="80" w:type="dxa"/>
              <w:right w:w="80" w:type="dxa"/>
            </w:tcMar>
          </w:tcPr>
          <w:p>
            <w:pPr>
              <w:jc w:val="center"/>
            </w:pPr>
            <w:r>
              <w:rPr>
                <w:rFonts w:ascii="Times New Roman" w:hAnsi="Times New Roman"/>
                <w:sz w:val="19"/>
              </w:rPr>
              <w:t>-</w:t>
            </w:r>
          </w:p>
        </w:tc>
        <w:tc>
          <w:tcPr>
            <w:tcW w:type="dxa" w:w="1512"/>
            <w:tcMar>
              <w:top w:w="60" w:type="dxa"/>
              <w:bottom w:w="60" w:type="dxa"/>
              <w:left w:w="80" w:type="dxa"/>
              <w:right w:w="80" w:type="dxa"/>
            </w:tcMar>
          </w:tcPr>
          <w:p>
            <w:pPr>
              <w:jc w:val="left"/>
            </w:pPr>
            <w:r>
              <w:rPr>
                <w:rFonts w:ascii="Times New Roman" w:hAnsi="Times New Roman"/>
                <w:sz w:val="19"/>
              </w:rPr>
              <w:t>Chứa tủ rack, firewall, UPS</w:t>
            </w:r>
          </w:p>
        </w:tc>
      </w:tr>
      <w:tr>
        <w:tc>
          <w:tcPr>
            <w:tcW w:type="dxa" w:w="1512"/>
            <w:tcMar>
              <w:top w:w="60" w:type="dxa"/>
              <w:bottom w:w="60" w:type="dxa"/>
              <w:left w:w="80" w:type="dxa"/>
              <w:right w:w="80" w:type="dxa"/>
            </w:tcMar>
          </w:tcPr>
          <w:p>
            <w:pPr>
              <w:jc w:val="center"/>
            </w:pPr>
            <w:r>
              <w:rPr>
                <w:rFonts w:ascii="Times New Roman" w:hAnsi="Times New Roman"/>
                <w:sz w:val="19"/>
              </w:rPr>
              <w:t>12</w:t>
            </w:r>
          </w:p>
        </w:tc>
        <w:tc>
          <w:tcPr>
            <w:tcW w:type="dxa" w:w="1512"/>
            <w:tcMar>
              <w:top w:w="60" w:type="dxa"/>
              <w:bottom w:w="60" w:type="dxa"/>
              <w:left w:w="80" w:type="dxa"/>
              <w:right w:w="80" w:type="dxa"/>
            </w:tcMar>
          </w:tcPr>
          <w:p>
            <w:pPr>
              <w:jc w:val="left"/>
            </w:pPr>
            <w:r>
              <w:rPr>
                <w:rFonts w:ascii="Times New Roman" w:hAnsi="Times New Roman"/>
                <w:sz w:val="19"/>
              </w:rPr>
              <w:t>Kho lưu trữ hồ sơ địa chính hiện hữu</w:t>
            </w:r>
          </w:p>
        </w:tc>
        <w:tc>
          <w:tcPr>
            <w:tcW w:type="dxa" w:w="1512"/>
            <w:tcMar>
              <w:top w:w="60" w:type="dxa"/>
              <w:bottom w:w="60" w:type="dxa"/>
              <w:left w:w="80" w:type="dxa"/>
              <w:right w:w="80" w:type="dxa"/>
            </w:tcMar>
          </w:tcPr>
          <w:p>
            <w:pPr>
              <w:jc w:val="center"/>
            </w:pPr>
            <w:r>
              <w:rPr>
                <w:rFonts w:ascii="Times New Roman" w:hAnsi="Times New Roman"/>
                <w:sz w:val="19"/>
              </w:rPr>
              <w:t>2019</w:t>
            </w:r>
          </w:p>
        </w:tc>
        <w:tc>
          <w:tcPr>
            <w:tcW w:type="dxa" w:w="1512"/>
            <w:tcMar>
              <w:top w:w="60" w:type="dxa"/>
              <w:bottom w:w="60" w:type="dxa"/>
              <w:left w:w="80" w:type="dxa"/>
              <w:right w:w="80" w:type="dxa"/>
            </w:tcMar>
          </w:tcPr>
          <w:p>
            <w:pPr>
              <w:jc w:val="right"/>
            </w:pPr>
            <w:r>
              <w:rPr>
                <w:rFonts w:ascii="Times New Roman" w:hAnsi="Times New Roman"/>
                <w:sz w:val="19"/>
              </w:rPr>
              <w:t>300,00</w:t>
            </w:r>
          </w:p>
        </w:tc>
        <w:tc>
          <w:tcPr>
            <w:tcW w:type="dxa" w:w="1512"/>
            <w:tcMar>
              <w:top w:w="60" w:type="dxa"/>
              <w:bottom w:w="60" w:type="dxa"/>
              <w:left w:w="80" w:type="dxa"/>
              <w:right w:w="80" w:type="dxa"/>
            </w:tcMar>
          </w:tcPr>
          <w:p>
            <w:pPr>
              <w:jc w:val="center"/>
            </w:pPr>
            <w:r>
              <w:rPr>
                <w:rFonts w:ascii="Times New Roman" w:hAnsi="Times New Roman"/>
                <w:sz w:val="19"/>
              </w:rPr>
              <w:t>-</w:t>
            </w:r>
          </w:p>
        </w:tc>
        <w:tc>
          <w:tcPr>
            <w:tcW w:type="dxa" w:w="1512"/>
            <w:tcMar>
              <w:top w:w="60" w:type="dxa"/>
              <w:bottom w:w="60" w:type="dxa"/>
              <w:left w:w="80" w:type="dxa"/>
              <w:right w:w="80" w:type="dxa"/>
            </w:tcMar>
          </w:tcPr>
          <w:p>
            <w:pPr>
              <w:jc w:val="left"/>
            </w:pPr>
            <w:r>
              <w:rPr>
                <w:rFonts w:ascii="Times New Roman" w:hAnsi="Times New Roman"/>
                <w:sz w:val="19"/>
              </w:rPr>
              <w:t>Đã đầy 100% công suất kho</w:t>
            </w:r>
          </w:p>
        </w:tc>
      </w:tr>
      <w:tr>
        <w:tc>
          <w:tcPr>
            <w:tcW w:type="dxa" w:w="1512"/>
            <w:tcMar>
              <w:top w:w="60" w:type="dxa"/>
              <w:bottom w:w="60" w:type="dxa"/>
              <w:left w:w="80" w:type="dxa"/>
              <w:right w:w="80" w:type="dxa"/>
            </w:tcMar>
          </w:tcPr>
          <w:p>
            <w:pPr>
              <w:jc w:val="center"/>
            </w:pPr>
            <w:r>
              <w:rPr>
                <w:rFonts w:ascii="Times New Roman" w:hAnsi="Times New Roman"/>
                <w:sz w:val="19"/>
              </w:rPr>
              <w:t>13</w:t>
            </w:r>
          </w:p>
        </w:tc>
        <w:tc>
          <w:tcPr>
            <w:tcW w:type="dxa" w:w="1512"/>
            <w:tcMar>
              <w:top w:w="60" w:type="dxa"/>
              <w:bottom w:w="60" w:type="dxa"/>
              <w:left w:w="80" w:type="dxa"/>
              <w:right w:w="80" w:type="dxa"/>
            </w:tcMar>
          </w:tcPr>
          <w:p>
            <w:pPr>
              <w:jc w:val="left"/>
            </w:pPr>
            <w:r>
              <w:rPr>
                <w:rFonts w:ascii="Times New Roman" w:hAnsi="Times New Roman"/>
                <w:sz w:val="19"/>
              </w:rPr>
              <w:t>Hành lang, cầu thang, khu vệ sinh công cộng</w:t>
            </w:r>
          </w:p>
        </w:tc>
        <w:tc>
          <w:tcPr>
            <w:tcW w:type="dxa" w:w="1512"/>
            <w:tcMar>
              <w:top w:w="60" w:type="dxa"/>
              <w:bottom w:w="60" w:type="dxa"/>
              <w:left w:w="80" w:type="dxa"/>
              <w:right w:w="80" w:type="dxa"/>
            </w:tcMar>
          </w:tcPr>
          <w:p>
            <w:pPr>
              <w:jc w:val="center"/>
            </w:pPr>
            <w:r>
              <w:rPr>
                <w:rFonts w:ascii="Times New Roman" w:hAnsi="Times New Roman"/>
                <w:sz w:val="19"/>
              </w:rPr>
              <w:t>2019</w:t>
            </w:r>
          </w:p>
        </w:tc>
        <w:tc>
          <w:tcPr>
            <w:tcW w:type="dxa" w:w="1512"/>
            <w:tcMar>
              <w:top w:w="60" w:type="dxa"/>
              <w:bottom w:w="60" w:type="dxa"/>
              <w:left w:w="80" w:type="dxa"/>
              <w:right w:w="80" w:type="dxa"/>
            </w:tcMar>
          </w:tcPr>
          <w:p>
            <w:pPr>
              <w:jc w:val="right"/>
            </w:pPr>
            <w:r>
              <w:rPr>
                <w:rFonts w:ascii="Times New Roman" w:hAnsi="Times New Roman"/>
                <w:sz w:val="19"/>
              </w:rPr>
              <w:t>123,30</w:t>
            </w:r>
          </w:p>
        </w:tc>
        <w:tc>
          <w:tcPr>
            <w:tcW w:type="dxa" w:w="1512"/>
            <w:tcMar>
              <w:top w:w="60" w:type="dxa"/>
              <w:bottom w:w="60" w:type="dxa"/>
              <w:left w:w="80" w:type="dxa"/>
              <w:right w:w="80" w:type="dxa"/>
            </w:tcMar>
          </w:tcPr>
          <w:p>
            <w:pPr>
              <w:jc w:val="center"/>
            </w:pPr>
            <w:r>
              <w:rPr>
                <w:rFonts w:ascii="Times New Roman" w:hAnsi="Times New Roman"/>
                <w:sz w:val="19"/>
              </w:rPr>
              <w:t>-</w:t>
            </w:r>
          </w:p>
        </w:tc>
        <w:tc>
          <w:tcPr>
            <w:tcW w:type="dxa" w:w="1512"/>
            <w:tcMar>
              <w:top w:w="60" w:type="dxa"/>
              <w:bottom w:w="60" w:type="dxa"/>
              <w:left w:w="80" w:type="dxa"/>
              <w:right w:w="80" w:type="dxa"/>
            </w:tcMar>
          </w:tcPr>
          <w:p>
            <w:pPr>
              <w:jc w:val="left"/>
            </w:pPr>
            <w:r>
              <w:rPr>
                <w:rFonts w:ascii="Times New Roman" w:hAnsi="Times New Roman"/>
                <w:sz w:val="19"/>
              </w:rPr>
              <w:t>Diện tích giao thông dùng chung</w:t>
            </w:r>
          </w:p>
        </w:tc>
      </w:tr>
      <w:tr>
        <w:tc>
          <w:tcPr>
            <w:tcW w:type="dxa" w:w="1512"/>
            <w:tcMar>
              <w:top w:w="60" w:type="dxa"/>
              <w:bottom w:w="60" w:type="dxa"/>
              <w:left w:w="80" w:type="dxa"/>
              <w:right w:w="80" w:type="dxa"/>
            </w:tcMar>
            <w:shd w:fill="F1F5F9"/>
          </w:tcPr>
          <w:p>
            <w:pPr>
              <w:jc w:val="center"/>
            </w:pPr>
            <w:r>
              <w:rPr>
                <w:rFonts w:ascii="Times New Roman" w:hAnsi="Times New Roman"/>
                <w:b/>
                <w:sz w:val="19"/>
              </w:rPr>
            </w:r>
          </w:p>
        </w:tc>
        <w:tc>
          <w:tcPr>
            <w:tcW w:type="dxa" w:w="1512"/>
            <w:tcMar>
              <w:top w:w="60" w:type="dxa"/>
              <w:bottom w:w="60" w:type="dxa"/>
              <w:left w:w="80" w:type="dxa"/>
              <w:right w:w="80" w:type="dxa"/>
            </w:tcMar>
            <w:shd w:fill="F1F5F9"/>
          </w:tcPr>
          <w:p>
            <w:pPr>
              <w:jc w:val="left"/>
            </w:pPr>
            <w:r>
              <w:rPr>
                <w:rFonts w:ascii="Times New Roman" w:hAnsi="Times New Roman"/>
                <w:b/>
                <w:sz w:val="19"/>
              </w:rPr>
              <w:t>TỔNG CỘNG DIỆN TÍCH SÀN CÔNG TRÌNH</w:t>
            </w:r>
          </w:p>
        </w:tc>
        <w:tc>
          <w:tcPr>
            <w:tcW w:type="dxa" w:w="1512"/>
            <w:tcMar>
              <w:top w:w="60" w:type="dxa"/>
              <w:bottom w:w="60" w:type="dxa"/>
              <w:left w:w="80" w:type="dxa"/>
              <w:right w:w="80" w:type="dxa"/>
            </w:tcMar>
            <w:shd w:fill="F1F5F9"/>
          </w:tcPr>
          <w:p>
            <w:pPr>
              <w:jc w:val="center"/>
            </w:pPr>
            <w:r>
              <w:rPr>
                <w:rFonts w:ascii="Times New Roman" w:hAnsi="Times New Roman"/>
                <w:b/>
                <w:sz w:val="19"/>
              </w:rPr>
            </w:r>
          </w:p>
        </w:tc>
        <w:tc>
          <w:tcPr>
            <w:tcW w:type="dxa" w:w="1512"/>
            <w:tcMar>
              <w:top w:w="60" w:type="dxa"/>
              <w:bottom w:w="60" w:type="dxa"/>
              <w:left w:w="80" w:type="dxa"/>
              <w:right w:w="80" w:type="dxa"/>
            </w:tcMar>
            <w:shd w:fill="F1F5F9"/>
          </w:tcPr>
          <w:p>
            <w:pPr>
              <w:jc w:val="right"/>
            </w:pPr>
            <w:r>
              <w:rPr>
                <w:rFonts w:ascii="Times New Roman" w:hAnsi="Times New Roman"/>
                <w:b/>
                <w:sz w:val="19"/>
              </w:rPr>
              <w:t>835,30</w:t>
            </w:r>
          </w:p>
        </w:tc>
        <w:tc>
          <w:tcPr>
            <w:tcW w:type="dxa" w:w="1512"/>
            <w:tcMar>
              <w:top w:w="60" w:type="dxa"/>
              <w:bottom w:w="60" w:type="dxa"/>
              <w:left w:w="80" w:type="dxa"/>
              <w:right w:w="80" w:type="dxa"/>
            </w:tcMar>
            <w:shd w:fill="F1F5F9"/>
          </w:tcPr>
          <w:p>
            <w:pPr>
              <w:jc w:val="center"/>
            </w:pPr>
            <w:r>
              <w:rPr>
                <w:rFonts w:ascii="Times New Roman" w:hAnsi="Times New Roman"/>
                <w:b/>
                <w:sz w:val="19"/>
              </w:rPr>
              <w:t>85</w:t>
            </w:r>
          </w:p>
        </w:tc>
        <w:tc>
          <w:tcPr>
            <w:tcW w:type="dxa" w:w="1512"/>
            <w:tcMar>
              <w:top w:w="60" w:type="dxa"/>
              <w:bottom w:w="60" w:type="dxa"/>
              <w:left w:w="80" w:type="dxa"/>
              <w:right w:w="80" w:type="dxa"/>
            </w:tcMar>
            <w:shd w:fill="F1F5F9"/>
          </w:tcPr>
          <w:p>
            <w:pPr>
              <w:jc w:val="left"/>
            </w:pPr>
            <w:r>
              <w:rPr>
                <w:rFonts w:ascii="Times New Roman" w:hAnsi="Times New Roman"/>
                <w:b/>
                <w:sz w:val="19"/>
              </w:rPr>
              <w:t>Khối công trình hiện hữu</w:t>
            </w:r>
          </w:p>
        </w:tc>
      </w:tr>
    </w:tbl>
    <w:p>
      <w:pPr>
        <w:spacing w:after="80" w:line="276" w:lineRule="auto"/>
        <w:jc w:val="both"/>
      </w:pPr>
      <w:r>
        <w:rPr>
          <w:rFonts w:ascii="Times New Roman" w:hAnsi="Times New Roman"/>
          <w:i w:val="0"/>
          <w:sz w:val="26"/>
        </w:rPr>
      </w:r>
    </w:p>
    <w:p>
      <w:pPr>
        <w:spacing w:after="80" w:line="276" w:lineRule="auto"/>
        <w:jc w:val="both"/>
      </w:pPr>
      <w:r>
        <w:rPr>
          <w:rFonts w:ascii="Times New Roman" w:hAnsi="Times New Roman"/>
          <w:i w:val="0"/>
          <w:sz w:val="26"/>
        </w:rPr>
        <w:t>Kho lưu trữ chuyên ngành: Hiện tại đơn vị chỉ có 01 kho lưu trữ chuyên dùng diện tích 300 m² sàn. Do khối lượng tài liệu địa chính, hồ sơ cấp đổi, cấp mới và giao dịch bảo đảm tích lũy qua nhiều năm rất lớn, kho này đã lấp kín 100% sức chứa giá kệ. Khoảng 30% lượng hồ sơ phát sinh chưa thể chỉnh lý đang phải xếp tạm tại các lối đi và 02 phòng làm việc của cán bộ, gây chật hẹp, mất mỹ quan và tiềm ẩn nguy cơ cháy nổ cao.</w:t>
      </w:r>
    </w:p>
    <w:p>
      <w:pPr>
        <w:spacing w:after="80" w:line="276" w:lineRule="auto"/>
        <w:jc w:val="both"/>
      </w:pPr>
      <w:r>
        <w:rPr>
          <w:rFonts w:ascii="Times New Roman" w:hAnsi="Times New Roman"/>
          <w:i w:val="0"/>
          <w:sz w:val="26"/>
        </w:rPr>
        <w:t>Khuôn viên nhà để xe: Diện tích nhà để xe hiện hữu trong khuôn viên là 200 m², được bố trí tập trung để đáp ứng nhu cầu để xe của 85 cán bộ nhân viên và lưu lượng phương tiện của người dân đến thực hiện giao dịch tại Bộ phận Một cửa. Hạng mục này thuộc công trình ngoài nhà theo Khoản 3 Điều 3 Nghị định 155/2025/NĐ-CP, không tính vào diện tích sàn làm việc thông thủy.</w:t>
      </w:r>
    </w:p>
    <w:p>
      <w:pPr>
        <w:spacing w:before="240" w:after="80"/>
      </w:pPr>
      <w:r>
        <w:rPr>
          <w:rFonts w:ascii="Times New Roman" w:hAnsi="Times New Roman"/>
          <w:b/>
          <w:sz w:val="27"/>
        </w:rPr>
        <w:t>IV. Danh mục tài sản</w:t>
      </w:r>
    </w:p>
    <w:p>
      <w:pPr>
        <w:spacing w:before="160" w:after="60"/>
      </w:pPr>
      <w:r>
        <w:rPr>
          <w:rFonts w:ascii="Times New Roman" w:hAnsi="Times New Roman"/>
          <w:b/>
          <w:sz w:val="26"/>
        </w:rPr>
        <w:t>1. Về đất đai (Tổng diện tích: 2.693,90 m²)</w:t>
      </w:r>
    </w:p>
    <w:p>
      <w:pPr>
        <w:pStyle w:val="ListBullet"/>
        <w:spacing w:after="60" w:line="276" w:lineRule="auto"/>
        <w:jc w:val="both"/>
      </w:pPr>
      <w:r>
        <w:rPr>
          <w:rFonts w:ascii="Times New Roman" w:hAnsi="Times New Roman"/>
          <w:sz w:val="26"/>
        </w:rPr>
        <w:t>Cơ sở nhà, đất số 1 (Hiện hữu): Địa chỉ tại số 358 đường Huỳnh Văn Cù, khu phố Chánh Lộc 7, phường Thủ Dầu Một, Thành phố Hồ Chí Minh. Diện tích khuôn viên đất thực tế đang quản lý, sử dụng ổn định là 1.417,70 m².</w:t>
      </w:r>
    </w:p>
    <w:p>
      <w:pPr>
        <w:pStyle w:val="ListBullet"/>
        <w:spacing w:after="60" w:line="276" w:lineRule="auto"/>
        <w:jc w:val="both"/>
      </w:pPr>
      <w:r>
        <w:rPr>
          <w:rFonts w:ascii="Times New Roman" w:hAnsi="Times New Roman"/>
          <w:sz w:val="26"/>
        </w:rPr>
        <w:t>Cơ sở nhà, đất số 2 (Đề nghị tiếp nhận điều chuyển): Địa chỉ tại Điểm trạm y tế 3 (Trạm Y tế phường Chánh Mỹ cũ), đường Huỳnh Văn Cù, khu phố Chánh Lộc 7, phường Thủ Dầu Một, Thành phố Hồ Chí Minh (liền kề cơ sở số 358). Diện tích khuôn viên đất là 1.276,20 m².</w:t>
      </w:r>
    </w:p>
    <w:p>
      <w:pPr>
        <w:spacing w:before="160" w:after="60"/>
      </w:pPr>
      <w:r>
        <w:rPr>
          <w:rFonts w:ascii="Times New Roman" w:hAnsi="Times New Roman"/>
          <w:b/>
          <w:sz w:val="26"/>
        </w:rPr>
        <w:t>2. Về nhà và công trình xây dựng</w:t>
      </w:r>
    </w:p>
    <w:p>
      <w:pPr>
        <w:pStyle w:val="ListBullet"/>
        <w:spacing w:after="60" w:line="276" w:lineRule="auto"/>
        <w:jc w:val="both"/>
      </w:pPr>
      <w:r>
        <w:rPr>
          <w:rFonts w:ascii="Times New Roman" w:hAnsi="Times New Roman"/>
          <w:sz w:val="26"/>
        </w:rPr>
        <w:t>Tại số 358 Huỳnh Văn Cù: Tổng diện tích sàn xây dựng thực tế là 835,30 m² (theo Biên bản bàn giao ngày 09/5/2019 gồm khối nhà chính 2 tầng diện tích 548,20 m², nhà Một cửa 69,90 m², nhà BCH Quân sự cũ 81,50 m², hội trường 117,60 m², khu vệ sinh 18,10 m²). Kết cấu khung, sàn bê tông cốt thép, mái tole/bê tông, tường gạch.</w:t>
      </w:r>
    </w:p>
    <w:p>
      <w:pPr>
        <w:pStyle w:val="ListBullet"/>
        <w:spacing w:after="60" w:line="276" w:lineRule="auto"/>
        <w:jc w:val="both"/>
      </w:pPr>
      <w:r>
        <w:rPr>
          <w:rFonts w:ascii="Times New Roman" w:hAnsi="Times New Roman"/>
          <w:sz w:val="26"/>
        </w:rPr>
        <w:t>Tại Điểm trạm y tế 3 (liền kề): Cơ sở hiện đang bỏ trống, gồm khối nhà trạm y tế cũ và sân bãi, dự kiến tiếp nhận nguyên trạng và lập dự án cải tạo nội thất, gia cố sàn chịu tải để lắp đặt hệ thống giá kệ compactor làm kho lưu trữ hồ sơ địa chính tập trung.</w:t>
      </w:r>
    </w:p>
    <w:p>
      <w:pPr>
        <w:spacing w:before="160" w:after="60"/>
      </w:pPr>
      <w:r>
        <w:rPr>
          <w:rFonts w:ascii="Times New Roman" w:hAnsi="Times New Roman"/>
          <w:b/>
          <w:sz w:val="26"/>
        </w:rPr>
        <w:t>3. Đánh giá hiện trạng tài sản</w:t>
      </w:r>
    </w:p>
    <w:p>
      <w:pPr>
        <w:spacing w:after="80" w:line="276" w:lineRule="auto"/>
        <w:jc w:val="both"/>
      </w:pPr>
      <w:r>
        <w:rPr>
          <w:rFonts w:ascii="Times New Roman" w:hAnsi="Times New Roman"/>
          <w:i w:val="0"/>
          <w:sz w:val="26"/>
        </w:rPr>
        <w:t>Toàn bộ cơ sở nhà, đất tại số 358 Huỳnh Văn Cù đang được Chi nhánh số 23 quản lý, sử dụng đúng mục đích làm trụ sở cơ quan nhà nước; tuyệt đối không có hiện tượng sử dụng sai mục đích, lãng phí, cho thuê, cho mượn hoặc liên doanh, liên kết trái quy định. Công suất sử dụng mặt bằng đạt trên 100%, vượt tải so với tiêu chuẩn định mức.</w:t>
      </w:r>
    </w:p>
    <w:p>
      <w:pPr>
        <w:spacing w:after="80" w:line="276" w:lineRule="auto"/>
        <w:jc w:val="both"/>
      </w:pPr>
      <w:r>
        <w:rPr>
          <w:rFonts w:ascii="Times New Roman" w:hAnsi="Times New Roman"/>
          <w:i w:val="0"/>
          <w:sz w:val="26"/>
        </w:rPr>
        <w:t>Cơ sở Điểm trạm y tế 3 do Trạm Y tế phường Thủ Dầu Một quản lý hiện không còn nhu cầu sử dụng (đã có Tờ trình số 195/TTr-TYT và Tờ trình số 427/TTr-TYT). Việc điều chuyển cơ sở này sang cho Chi nhánh số 23 là giải pháp hoàn toàn phù hợp để xử lý trụ sở dôi dư theo đúng chủ trương của Ban Thường vụ Thành ủy, Ủy ban nhân dân Thành phố và hướng dẫn của Bộ Tài chính tại Công văn số 223/BTC-QLCS.</w:t>
      </w:r>
    </w:p>
    <w:p>
      <w:pPr>
        <w:spacing w:before="240" w:after="80"/>
      </w:pPr>
      <w:r>
        <w:rPr>
          <w:rFonts w:ascii="Times New Roman" w:hAnsi="Times New Roman"/>
          <w:b/>
          <w:sz w:val="27"/>
        </w:rPr>
        <w:t>V. Phương án sử dụng tài sản và quản lý sau khi tiếp nhận</w:t>
      </w:r>
    </w:p>
    <w:p>
      <w:pPr>
        <w:spacing w:before="160" w:after="60"/>
      </w:pPr>
      <w:r>
        <w:rPr>
          <w:rFonts w:ascii="Times New Roman" w:hAnsi="Times New Roman"/>
          <w:b/>
          <w:sz w:val="26"/>
        </w:rPr>
        <w:t>1. Phương án phân bổ và sử dụng tài sản</w:t>
      </w:r>
    </w:p>
    <w:p>
      <w:pPr>
        <w:spacing w:after="80" w:line="276" w:lineRule="auto"/>
        <w:jc w:val="both"/>
      </w:pPr>
      <w:r>
        <w:rPr>
          <w:rFonts w:ascii="Times New Roman" w:hAnsi="Times New Roman"/>
          <w:i w:val="0"/>
          <w:sz w:val="26"/>
        </w:rPr>
        <w:t>Sau khi có Quyết định điều chuyển của Ủy ban nhân dân Thành phố Hồ Chí Minh và hoàn thành thủ tục tiếp nhận, Chi nhánh Văn phòng Đăng ký đất đai số 23 bố trí phân bổ tài sản như sau:</w:t>
      </w:r>
    </w:p>
    <w:p>
      <w:pPr>
        <w:pStyle w:val="ListBullet"/>
        <w:spacing w:after="60" w:line="276" w:lineRule="auto"/>
        <w:jc w:val="both"/>
      </w:pPr>
      <w:r>
        <w:rPr>
          <w:rFonts w:ascii="Times New Roman" w:hAnsi="Times New Roman"/>
          <w:sz w:val="26"/>
        </w:rPr>
        <w:t>Cơ sở số 358 Huỳnh Văn Cù (1.417,7 m² đất, 835,3 m² sàn): Tiếp tục duy trì làm Văn phòng làm việc hành chính tập trung của Ban Giám đốc và các tổ chuyên môn, bố trí Bộ phận Một cửa tiếp nhận và trả kết quả hồ sơ, phòng họp chuyên môn kết hợp tiếp công dân, phòng máy chủ và nhà để xe.</w:t>
      </w:r>
    </w:p>
    <w:p>
      <w:pPr>
        <w:pStyle w:val="ListBullet"/>
        <w:spacing w:after="60" w:line="276" w:lineRule="auto"/>
        <w:jc w:val="both"/>
      </w:pPr>
      <w:r>
        <w:rPr>
          <w:rFonts w:ascii="Times New Roman" w:hAnsi="Times New Roman"/>
          <w:sz w:val="26"/>
        </w:rPr>
        <w:t>Cơ sở Điểm trạm y tế 3 (1.276,2 m² đất liền kề): Bố trí làm Kho lưu trữ hồ sơ địa chính chuyên ngành độc lập liên kết; cải tạo lắp đặt hệ thống giá kệ chuyên dùng lưu trữ hồ sơ địa chính gốc, hồ sơ biến động đất đai, tài liệu đo đạc và bố trí khu vực kỹ thuật bóc tách, chỉnh lý, số hóa hồ sơ theo quy chuẩn của Bộ Nội vụ và Bộ Tài nguyên và Môi trường.</w:t>
      </w:r>
    </w:p>
    <w:p>
      <w:pPr>
        <w:spacing w:before="160" w:after="60"/>
      </w:pPr>
      <w:r>
        <w:rPr>
          <w:rFonts w:ascii="Times New Roman" w:hAnsi="Times New Roman"/>
          <w:b/>
          <w:sz w:val="26"/>
        </w:rPr>
        <w:t>2. Phương án quản lý, khai thác tài sản sau tiếp nhận</w:t>
      </w:r>
    </w:p>
    <w:p>
      <w:pPr>
        <w:pStyle w:val="ListBullet"/>
        <w:spacing w:after="60" w:line="276" w:lineRule="auto"/>
        <w:jc w:val="both"/>
      </w:pPr>
      <w:r>
        <w:rPr>
          <w:rFonts w:ascii="Times New Roman" w:hAnsi="Times New Roman"/>
          <w:sz w:val="26"/>
        </w:rPr>
        <w:t>Quản lý, sử dụng tài sản công đúng mục đích, đúng công năng tiêu chuẩn và quy định của Luật Quản lý, sử dụng tài sản công năm 2017 và Nghị định số 186/2025/NĐ-CP.</w:t>
      </w:r>
    </w:p>
    <w:p>
      <w:pPr>
        <w:pStyle w:val="ListBullet"/>
        <w:spacing w:after="60" w:line="276" w:lineRule="auto"/>
        <w:jc w:val="both"/>
      </w:pPr>
      <w:r>
        <w:rPr>
          <w:rFonts w:ascii="Times New Roman" w:hAnsi="Times New Roman"/>
          <w:sz w:val="26"/>
        </w:rPr>
        <w:t>Thực hiện đầy đủ quy trình hạch toán kế toán, đăng ký quyền quản lý sử dụng và cập nhật dữ liệu tài sản vào Cơ sở dữ liệu quốc gia về tài sản công theo đúng thời hạn 30 ngày kể từ ngày bàn giao tiếp nhận.</w:t>
      </w:r>
    </w:p>
    <w:p>
      <w:pPr>
        <w:pStyle w:val="ListBullet"/>
        <w:spacing w:after="60" w:line="276" w:lineRule="auto"/>
        <w:jc w:val="both"/>
      </w:pPr>
      <w:r>
        <w:rPr>
          <w:rFonts w:ascii="Times New Roman" w:hAnsi="Times New Roman"/>
          <w:sz w:val="26"/>
        </w:rPr>
        <w:t>Thực hiện kiểm kê định kỳ, lập kế hoạch bảo trì, bảo dưỡng công trình thường xuyên; tuyệt đối không sử dụng tài sản vào mục đích kinh doanh dịch vụ, cho thuê, cho mượn hoặc liên doanh, liên kết dưới bất kỳ hình thức nào.</w:t>
      </w:r>
    </w:p>
    <w:p>
      <w:pPr>
        <w:spacing w:before="240" w:after="80"/>
      </w:pPr>
      <w:r>
        <w:rPr>
          <w:rFonts w:ascii="Times New Roman" w:hAnsi="Times New Roman"/>
          <w:b/>
          <w:sz w:val="27"/>
        </w:rPr>
        <w:t>VI. Đánh giá hiệu quả của phương án</w:t>
      </w:r>
    </w:p>
    <w:p>
      <w:pPr>
        <w:pStyle w:val="ListBullet"/>
        <w:spacing w:after="60" w:line="276" w:lineRule="auto"/>
        <w:jc w:val="both"/>
      </w:pPr>
      <w:r>
        <w:rPr>
          <w:rFonts w:ascii="Times New Roman" w:hAnsi="Times New Roman"/>
          <w:sz w:val="26"/>
        </w:rPr>
        <w:t>Về chuyên môn, nghiệp vụ: Giải quyết triệt để bài toán thiếu hụt diện tích kho lưu trữ chuyên dụng; bảo vệ an toàn tuyệt đối cho hồ sơ địa chính gốc, ngăn chặn nguy cơ cháy nổ, ẩm mốc, mối mọt; đưa toàn bộ hồ sơ dôi dư ra khỏi phòng làm việc của cán bộ, đảm bảo môi trường làm việc thông thoáng, đúng quy chuẩn.</w:t>
      </w:r>
    </w:p>
    <w:p>
      <w:pPr>
        <w:pStyle w:val="ListBullet"/>
        <w:spacing w:after="60" w:line="276" w:lineRule="auto"/>
        <w:jc w:val="both"/>
      </w:pPr>
      <w:r>
        <w:rPr>
          <w:rFonts w:ascii="Times New Roman" w:hAnsi="Times New Roman"/>
          <w:sz w:val="26"/>
        </w:rPr>
        <w:t>Về kinh tế - xã hội và quản lý tài sản công: Khai thác tối ưu và xử lý dứt điểm cơ sở nhà đất công dôi dư đang bỏ trống của ngành y tế; không để phát sinh lãng phí tài sản nhà nước; tiết kiệm tối đa ngân sách nhà nước do không phải chi ngân sách để thuê mặt bằng ngoài hoặc lập dự án đầu tư xây dựng mới trụ sở.</w:t>
      </w:r>
    </w:p>
    <w:p>
      <w:pPr>
        <w:pStyle w:val="ListBullet"/>
        <w:spacing w:after="60" w:line="276" w:lineRule="auto"/>
        <w:jc w:val="both"/>
      </w:pPr>
      <w:r>
        <w:rPr>
          <w:rFonts w:ascii="Times New Roman" w:hAnsi="Times New Roman"/>
          <w:sz w:val="26"/>
        </w:rPr>
        <w:t>Về phục vụ nhân dân: Việc đặt kho lưu trữ chuyên ngành ngay liền kề khối nhà hành chính tạo liên kết hữu cơ thuận lợi, giúp cán bộ rút ngắn thời gian tra cứu, trích lục hồ sơ địa chính phục vụ công tác cấp Giấy chứng nhận và đăng ký giao dịch bảo đảm, nâng cao tỷ lệ giải quyết hồ sơ đúng hạn và trước hạn cho người dân và doanh nghiệp.</w:t>
      </w:r>
    </w:p>
    <w:p>
      <w:pPr>
        <w:spacing w:before="240" w:after="80"/>
      </w:pPr>
      <w:r>
        <w:rPr>
          <w:rFonts w:ascii="Times New Roman" w:hAnsi="Times New Roman"/>
          <w:b/>
          <w:sz w:val="27"/>
        </w:rPr>
        <w:t>VII. Kiến nghị</w:t>
      </w:r>
    </w:p>
    <w:p>
      <w:pPr>
        <w:spacing w:after="80" w:line="276" w:lineRule="auto"/>
        <w:jc w:val="both"/>
      </w:pPr>
      <w:r>
        <w:rPr>
          <w:rFonts w:ascii="Times New Roman" w:hAnsi="Times New Roman"/>
          <w:i w:val="0"/>
          <w:sz w:val="26"/>
        </w:rPr>
        <w:t>Từ các căn cứ pháp lý, thực trạng hạ tầng và kết quả đối chiếu tiêu chuẩn định mức nêu trên, Chi nhánh Văn phòng Đăng ký đất đai số 23 kính đề nghị:</w:t>
      </w:r>
    </w:p>
    <w:p>
      <w:pPr>
        <w:spacing w:after="80" w:line="276" w:lineRule="auto"/>
        <w:jc w:val="both"/>
      </w:pPr>
      <w:r>
        <w:rPr>
          <w:rFonts w:ascii="Times New Roman" w:hAnsi="Times New Roman"/>
          <w:i w:val="0"/>
          <w:sz w:val="26"/>
        </w:rPr>
        <w:t>1. Kính trình Văn phòng Đăng ký đất đai Thành phố Hồ Chí Minh xem xét, tổng hợp báo cáo Sở Nông nghiệp và Môi trường có văn bản tham mưu Ủy ban nhân dân Thành phố Hồ Chí Minh ban hành Quyết định điều chuyển tài sản công đối với cơ sở Điểm trạm y tế 3 (Trạm Y tế phường Chánh Mỹ cũ), diện tích đất 1.276,20 m² tọa lạc tại đường Huỳnh Văn Cù, khu phố Chánh Lộc 7, phường Thủ Dầu Một từ Ủy ban nhân dân phường Thủ Dầu Một sang Sở Nông nghiệp và Môi trường để giao chính thức cho Chi nhánh Văn phòng Đăng ký đất đai số 23 trực tiếp quản lý, sử dụng làm kho lưu trữ hồ sơ địa chính chuyên ngành.</w:t>
      </w:r>
    </w:p>
    <w:p>
      <w:pPr>
        <w:spacing w:after="80" w:line="276" w:lineRule="auto"/>
        <w:jc w:val="both"/>
      </w:pPr>
      <w:r>
        <w:rPr>
          <w:rFonts w:ascii="Times New Roman" w:hAnsi="Times New Roman"/>
          <w:i w:val="0"/>
          <w:sz w:val="26"/>
        </w:rPr>
        <w:t>2. Đề nghị Ủy ban nhân dân phường Thủ Dầu Một tiếp tục phối hợp, hoàn tất các hồ sơ thủ tục điều chuyển tài sản công theo đúng tinh thần Công văn số 1136/UBND-VP ngày 08/5/2026 và Công văn số 2122/UBND-VP ngày 20/7/2026.</w:t>
      </w:r>
    </w:p>
    <w:p>
      <w:pPr>
        <w:spacing w:after="80" w:line="276" w:lineRule="auto"/>
        <w:jc w:val="both"/>
      </w:pPr>
      <w:r>
        <w:rPr>
          <w:rFonts w:ascii="Times New Roman" w:hAnsi="Times New Roman"/>
          <w:i w:val="0"/>
          <w:sz w:val="26"/>
        </w:rPr>
        <w:t>Chi nhánh Văn phòng Đăng ký đất đai số 23 cam kết sau khi được bàn giao tiếp nhận sẽ quản lý, khai thác sử dụng cơ sở nhà, đất đúng mục đích, đúng quy chuẩn định mức của Nhà nước, bảo đảm an toàn, tiết kiệm và hiệu quả cao nhất.</w:t>
      </w:r>
    </w:p>
    <w:p>
      <w:pPr>
        <w:spacing w:before="280" w:after="40"/>
        <w:jc w:val="right"/>
      </w:pPr>
      <w:r>
        <w:rPr>
          <w:rFonts w:ascii="Times New Roman" w:hAnsi="Times New Roman"/>
          <w:i/>
          <w:sz w:val="24"/>
        </w:rPr>
        <w:t>Thủ Dầu Một, ngày      tháng      năm 2026</w:t>
      </w:r>
    </w:p>
    <w:tbl>
      <w:tblPr>
        <w:tblW w:type="auto" w:w="0"/>
        <w:jc w:val="center"/>
        <w:tblLayout w:type="fixed"/>
        <w:tblLook w:firstColumn="1" w:firstRow="1" w:lastColumn="0" w:lastRow="0" w:noHBand="0" w:noVBand="1" w:val="04A0"/>
      </w:tblPr>
      <w:tblGrid>
        <w:gridCol w:w="4536"/>
        <w:gridCol w:w="4536"/>
      </w:tblGrid>
      <w:tr>
        <w:tc>
          <w:tcPr>
            <w:tcW w:type="dxa" w:w="4608"/>
          </w:tcPr>
          <w:p>
            <w:pPr>
              <w:jc w:val="center"/>
            </w:pPr>
            <w:r>
              <w:rPr>
                <w:rFonts w:ascii="Times New Roman" w:hAnsi="Times New Roman"/>
                <w:b/>
                <w:sz w:val="24"/>
              </w:rPr>
              <w:t>NGƯỜI LẬP PHƯƠNG ÁN</w:t>
              <w:br/>
              <w:br/>
              <w:br/>
              <w:br/>
              <w:br/>
            </w:r>
          </w:p>
        </w:tc>
        <w:tc>
          <w:tcPr>
            <w:tcW w:type="dxa" w:w="4608"/>
          </w:tcPr>
          <w:p>
            <w:pPr>
              <w:jc w:val="center"/>
            </w:pPr>
            <w:r>
              <w:rPr>
                <w:rFonts w:ascii="Times New Roman" w:hAnsi="Times New Roman"/>
                <w:b/>
                <w:sz w:val="24"/>
              </w:rPr>
              <w:t>KT. GIÁM ĐỐC</w:t>
              <w:br/>
              <w:t>PHÓ GIÁM ĐỐC</w:t>
              <w:br/>
              <w:br/>
              <w:br/>
              <w:br/>
            </w:r>
            <w:r>
              <w:rPr>
                <w:rFonts w:ascii="Times New Roman" w:hAnsi="Times New Roman"/>
                <w:b/>
                <w:sz w:val="25"/>
              </w:rPr>
              <w:t>Đặng Huy Cường</w:t>
            </w:r>
          </w:p>
        </w:tc>
      </w:tr>
    </w:tbl>
    <w:p>
      <w:r>
        <w:br w:type="page"/>
      </w:r>
    </w:p>
    <w:p>
      <w:r>
        <w:rPr>
          <w:rFonts w:ascii="Times New Roman" w:hAnsi="Times New Roman"/>
          <w:b/>
          <w:sz w:val="22"/>
        </w:rPr>
        <w:t>Đơn vị: CHI NHÁNH VĂN PHÒNG ĐĂNG KÝ ĐẤT ĐAI SỐ 23</w:t>
      </w:r>
    </w:p>
    <w:p>
      <w:pPr>
        <w:spacing w:after="40"/>
        <w:jc w:val="center"/>
      </w:pPr>
      <w:r>
        <w:rPr>
          <w:rFonts w:ascii="Times New Roman" w:hAnsi="Times New Roman"/>
          <w:b/>
          <w:sz w:val="28"/>
        </w:rPr>
        <w:t>BẢNG ĐỐI CHIẾU</w:t>
      </w:r>
    </w:p>
    <w:p>
      <w:pPr>
        <w:spacing w:after="120"/>
        <w:jc w:val="center"/>
      </w:pPr>
      <w:r>
        <w:rPr>
          <w:rFonts w:ascii="Times New Roman" w:hAnsi="Times New Roman"/>
          <w:b/>
          <w:sz w:val="23"/>
        </w:rPr>
        <w:t>NHU CẦU DIỆN TÍCH LÀM VĂN PHÒNG LÀM VIỆC VÀ KHO LƯU TRỮ CẦN THIẾT THEO ĐỊNH MỨC NHÀ NƯỚC</w:t>
      </w:r>
    </w:p>
    <w:p>
      <w:pPr>
        <w:spacing w:after="160"/>
      </w:pPr>
      <w:r>
        <w:rPr>
          <w:rFonts w:ascii="Times New Roman" w:hAnsi="Times New Roman"/>
          <w:i/>
          <w:sz w:val="20"/>
        </w:rPr>
        <w:t>- Căn cứ định mức tại Nghị định số 155/2025/NĐ-CP ngày 16 tháng 6 năm 2025 của Chính phủ quy định tiêu chuẩn, định mức sử dụng trụ sở làm việc, cơ sở hoạt động sự nghiệp;</w:t>
        <w:br/>
        <w:t>- Căn cứ Thông tư số 09/2007/TT-BNV ngày 26 tháng 11 năm 2007 của Bộ Nội vụ hướng dẫn kho lưu trữ chuyên dùng;</w:t>
        <w:br/>
        <w:t>- Căn cứ Tiêu chuẩn quốc gia TCVN 4319:2012 về Nhà và công trình công cộng - Nguyên tắc cơ bản để thiết kế;</w:t>
        <w:br/>
        <w:t>- Căn cứ Quyết định số 480/QĐ-VPĐK-HC ngày 30 tháng 3 năm 2026 của Giám đốc Văn phòng Đăng ký đất đai Thành phố Hồ Chí Minh.</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296"/>
        <w:gridCol w:w="1296"/>
        <w:gridCol w:w="1296"/>
        <w:gridCol w:w="1296"/>
        <w:gridCol w:w="1296"/>
        <w:gridCol w:w="1296"/>
        <w:gridCol w:w="1296"/>
      </w:tblGrid>
      <w:tr>
        <w:tc>
          <w:tcPr>
            <w:tcW w:type="dxa" w:w="1296"/>
            <w:shd w:fill="1E3A8A"/>
            <w:tcMar>
              <w:top w:w="80" w:type="dxa"/>
              <w:bottom w:w="80" w:type="dxa"/>
              <w:left w:w="80" w:type="dxa"/>
              <w:right w:w="80" w:type="dxa"/>
            </w:tcMar>
          </w:tcPr>
          <w:p>
            <w:pPr>
              <w:jc w:val="center"/>
            </w:pPr>
            <w:r>
              <w:rPr>
                <w:rFonts w:ascii="Times New Roman" w:hAnsi="Times New Roman"/>
                <w:b/>
                <w:color w:val="FFFFFF"/>
                <w:sz w:val="19"/>
              </w:rPr>
              <w:t>STT</w:t>
            </w:r>
          </w:p>
        </w:tc>
        <w:tc>
          <w:tcPr>
            <w:tcW w:type="dxa" w:w="1296"/>
            <w:shd w:fill="1E3A8A"/>
            <w:tcMar>
              <w:top w:w="80" w:type="dxa"/>
              <w:bottom w:w="80" w:type="dxa"/>
              <w:left w:w="80" w:type="dxa"/>
              <w:right w:w="80" w:type="dxa"/>
            </w:tcMar>
          </w:tcPr>
          <w:p>
            <w:pPr>
              <w:jc w:val="center"/>
            </w:pPr>
            <w:r>
              <w:rPr>
                <w:rFonts w:ascii="Times New Roman" w:hAnsi="Times New Roman"/>
                <w:b/>
                <w:color w:val="FFFFFF"/>
                <w:sz w:val="19"/>
              </w:rPr>
              <w:t>Chỉ tiêu</w:t>
            </w:r>
          </w:p>
        </w:tc>
        <w:tc>
          <w:tcPr>
            <w:tcW w:type="dxa" w:w="1296"/>
            <w:shd w:fill="1E3A8A"/>
            <w:tcMar>
              <w:top w:w="80" w:type="dxa"/>
              <w:bottom w:w="80" w:type="dxa"/>
              <w:left w:w="80" w:type="dxa"/>
              <w:right w:w="80" w:type="dxa"/>
            </w:tcMar>
          </w:tcPr>
          <w:p>
            <w:pPr>
              <w:jc w:val="center"/>
            </w:pPr>
            <w:r>
              <w:rPr>
                <w:rFonts w:ascii="Times New Roman" w:hAnsi="Times New Roman"/>
                <w:b/>
                <w:color w:val="FFFFFF"/>
                <w:sz w:val="19"/>
              </w:rPr>
              <w:t>Hiện trạng diện tích (m²)</w:t>
            </w:r>
          </w:p>
        </w:tc>
        <w:tc>
          <w:tcPr>
            <w:tcW w:type="dxa" w:w="1296"/>
            <w:shd w:fill="1E3A8A"/>
            <w:tcMar>
              <w:top w:w="80" w:type="dxa"/>
              <w:bottom w:w="80" w:type="dxa"/>
              <w:left w:w="80" w:type="dxa"/>
              <w:right w:w="80" w:type="dxa"/>
            </w:tcMar>
          </w:tcPr>
          <w:p>
            <w:pPr>
              <w:jc w:val="center"/>
            </w:pPr>
            <w:r>
              <w:rPr>
                <w:rFonts w:ascii="Times New Roman" w:hAnsi="Times New Roman"/>
                <w:b/>
                <w:color w:val="FFFFFF"/>
                <w:sz w:val="19"/>
              </w:rPr>
              <w:t>Số người / Số mét tài liệu</w:t>
            </w:r>
          </w:p>
        </w:tc>
        <w:tc>
          <w:tcPr>
            <w:tcW w:type="dxa" w:w="1296"/>
            <w:shd w:fill="1E3A8A"/>
            <w:tcMar>
              <w:top w:w="80" w:type="dxa"/>
              <w:bottom w:w="80" w:type="dxa"/>
              <w:left w:w="80" w:type="dxa"/>
              <w:right w:w="80" w:type="dxa"/>
            </w:tcMar>
          </w:tcPr>
          <w:p>
            <w:pPr>
              <w:jc w:val="center"/>
            </w:pPr>
            <w:r>
              <w:rPr>
                <w:rFonts w:ascii="Times New Roman" w:hAnsi="Times New Roman"/>
                <w:b/>
                <w:color w:val="FFFFFF"/>
                <w:sz w:val="19"/>
              </w:rPr>
              <w:t>Diện tích cần thiết theo định mức NN (m²)</w:t>
            </w:r>
          </w:p>
        </w:tc>
        <w:tc>
          <w:tcPr>
            <w:tcW w:type="dxa" w:w="1296"/>
            <w:shd w:fill="1E3A8A"/>
            <w:tcMar>
              <w:top w:w="80" w:type="dxa"/>
              <w:bottom w:w="80" w:type="dxa"/>
              <w:left w:w="80" w:type="dxa"/>
              <w:right w:w="80" w:type="dxa"/>
            </w:tcMar>
          </w:tcPr>
          <w:p>
            <w:pPr>
              <w:jc w:val="center"/>
            </w:pPr>
            <w:r>
              <w:rPr>
                <w:rFonts w:ascii="Times New Roman" w:hAnsi="Times New Roman"/>
                <w:b/>
                <w:color w:val="FFFFFF"/>
                <w:sz w:val="19"/>
              </w:rPr>
              <w:t>So sánh: Hiện trạng - Nhu cầu (m²)</w:t>
            </w:r>
          </w:p>
        </w:tc>
        <w:tc>
          <w:tcPr>
            <w:tcW w:type="dxa" w:w="1296"/>
            <w:shd w:fill="1E3A8A"/>
            <w:tcMar>
              <w:top w:w="80" w:type="dxa"/>
              <w:bottom w:w="80" w:type="dxa"/>
              <w:left w:w="80" w:type="dxa"/>
              <w:right w:w="80" w:type="dxa"/>
            </w:tcMar>
          </w:tcPr>
          <w:p>
            <w:pPr>
              <w:jc w:val="center"/>
            </w:pPr>
            <w:r>
              <w:rPr>
                <w:rFonts w:ascii="Times New Roman" w:hAnsi="Times New Roman"/>
                <w:b/>
                <w:color w:val="FFFFFF"/>
                <w:sz w:val="19"/>
              </w:rPr>
              <w:t>Ghi chú: Định mức Nhà nước quy định</w:t>
            </w:r>
          </w:p>
        </w:tc>
      </w:tr>
      <w:tr>
        <w:tc>
          <w:tcPr>
            <w:tcW w:type="dxa" w:w="1296"/>
            <w:tcMar>
              <w:top w:w="50" w:type="dxa"/>
              <w:bottom w:w="50" w:type="dxa"/>
              <w:left w:w="60" w:type="dxa"/>
              <w:right w:w="60" w:type="dxa"/>
            </w:tcMar>
            <w:shd w:fill="E2E8F0"/>
          </w:tcPr>
          <w:p>
            <w:pPr>
              <w:jc w:val="center"/>
            </w:pPr>
            <w:r>
              <w:rPr>
                <w:rFonts w:ascii="Times New Roman" w:hAnsi="Times New Roman"/>
                <w:b/>
                <w:sz w:val="18"/>
              </w:rPr>
            </w:r>
          </w:p>
        </w:tc>
        <w:tc>
          <w:tcPr>
            <w:tcW w:type="dxa" w:w="1296"/>
            <w:tcMar>
              <w:top w:w="50" w:type="dxa"/>
              <w:bottom w:w="50" w:type="dxa"/>
              <w:left w:w="60" w:type="dxa"/>
              <w:right w:w="60" w:type="dxa"/>
            </w:tcMar>
            <w:shd w:fill="E2E8F0"/>
          </w:tcPr>
          <w:p>
            <w:pPr>
              <w:jc w:val="left"/>
            </w:pPr>
            <w:r>
              <w:rPr>
                <w:rFonts w:ascii="Times New Roman" w:hAnsi="Times New Roman"/>
                <w:b/>
                <w:sz w:val="18"/>
              </w:rPr>
              <w:t>I. HIỆN TRẠNG NHÀ, ĐẤT ĐANG SỬ DỤNG VÀ ĐỀ NGHỊ TIẾP NHẬN</w:t>
            </w:r>
          </w:p>
        </w:tc>
        <w:tc>
          <w:tcPr>
            <w:tcW w:type="dxa" w:w="1296"/>
            <w:tcMar>
              <w:top w:w="50" w:type="dxa"/>
              <w:bottom w:w="50" w:type="dxa"/>
              <w:left w:w="60" w:type="dxa"/>
              <w:right w:w="60" w:type="dxa"/>
            </w:tcMar>
            <w:shd w:fill="E2E8F0"/>
          </w:tcPr>
          <w:p>
            <w:pPr>
              <w:jc w:val="right"/>
            </w:pPr>
            <w:r>
              <w:rPr>
                <w:rFonts w:ascii="Times New Roman" w:hAnsi="Times New Roman"/>
                <w:b/>
                <w:sz w:val="18"/>
              </w:rPr>
            </w:r>
          </w:p>
        </w:tc>
        <w:tc>
          <w:tcPr>
            <w:tcW w:type="dxa" w:w="1296"/>
            <w:tcMar>
              <w:top w:w="50" w:type="dxa"/>
              <w:bottom w:w="50" w:type="dxa"/>
              <w:left w:w="60" w:type="dxa"/>
              <w:right w:w="60" w:type="dxa"/>
            </w:tcMar>
            <w:shd w:fill="E2E8F0"/>
          </w:tcPr>
          <w:p>
            <w:pPr>
              <w:jc w:val="center"/>
            </w:pPr>
            <w:r>
              <w:rPr>
                <w:rFonts w:ascii="Times New Roman" w:hAnsi="Times New Roman"/>
                <w:b/>
                <w:sz w:val="18"/>
              </w:rPr>
            </w:r>
          </w:p>
        </w:tc>
        <w:tc>
          <w:tcPr>
            <w:tcW w:type="dxa" w:w="1296"/>
            <w:tcMar>
              <w:top w:w="50" w:type="dxa"/>
              <w:bottom w:w="50" w:type="dxa"/>
              <w:left w:w="60" w:type="dxa"/>
              <w:right w:w="60" w:type="dxa"/>
            </w:tcMar>
            <w:shd w:fill="E2E8F0"/>
          </w:tcPr>
          <w:p>
            <w:pPr>
              <w:jc w:val="right"/>
            </w:pPr>
            <w:r>
              <w:rPr>
                <w:rFonts w:ascii="Times New Roman" w:hAnsi="Times New Roman"/>
                <w:b/>
                <w:sz w:val="18"/>
              </w:rPr>
            </w:r>
          </w:p>
        </w:tc>
        <w:tc>
          <w:tcPr>
            <w:tcW w:type="dxa" w:w="1296"/>
            <w:tcMar>
              <w:top w:w="50" w:type="dxa"/>
              <w:bottom w:w="50" w:type="dxa"/>
              <w:left w:w="60" w:type="dxa"/>
              <w:right w:w="60" w:type="dxa"/>
            </w:tcMar>
            <w:shd w:fill="E2E8F0"/>
          </w:tcPr>
          <w:p>
            <w:pPr>
              <w:jc w:val="right"/>
            </w:pPr>
            <w:r>
              <w:rPr>
                <w:rFonts w:ascii="Times New Roman" w:hAnsi="Times New Roman"/>
                <w:b/>
                <w:sz w:val="18"/>
              </w:rPr>
            </w:r>
          </w:p>
        </w:tc>
        <w:tc>
          <w:tcPr>
            <w:tcW w:type="dxa" w:w="1296"/>
            <w:tcMar>
              <w:top w:w="50" w:type="dxa"/>
              <w:bottom w:w="50" w:type="dxa"/>
              <w:left w:w="60" w:type="dxa"/>
              <w:right w:w="60" w:type="dxa"/>
            </w:tcMar>
            <w:shd w:fill="E2E8F0"/>
          </w:tcPr>
          <w:p>
            <w:pPr>
              <w:jc w:val="left"/>
            </w:pPr>
            <w:r>
              <w:rPr>
                <w:rFonts w:ascii="Times New Roman" w:hAnsi="Times New Roman"/>
                <w:b/>
                <w:sz w:val="18"/>
              </w:rPr>
            </w:r>
          </w:p>
        </w:tc>
      </w:tr>
      <w:tr>
        <w:tc>
          <w:tcPr>
            <w:tcW w:type="dxa" w:w="1296"/>
            <w:tcMar>
              <w:top w:w="50" w:type="dxa"/>
              <w:bottom w:w="50" w:type="dxa"/>
              <w:left w:w="60" w:type="dxa"/>
              <w:right w:w="60" w:type="dxa"/>
            </w:tcMar>
          </w:tcPr>
          <w:p>
            <w:pPr>
              <w:jc w:val="center"/>
            </w:pPr>
            <w:r>
              <w:rPr>
                <w:rFonts w:ascii="Times New Roman" w:hAnsi="Times New Roman"/>
                <w:sz w:val="18"/>
              </w:rPr>
              <w:t>1</w:t>
            </w:r>
          </w:p>
        </w:tc>
        <w:tc>
          <w:tcPr>
            <w:tcW w:type="dxa" w:w="1296"/>
            <w:tcMar>
              <w:top w:w="50" w:type="dxa"/>
              <w:bottom w:w="50" w:type="dxa"/>
              <w:left w:w="60" w:type="dxa"/>
              <w:right w:w="60" w:type="dxa"/>
            </w:tcMar>
          </w:tcPr>
          <w:p>
            <w:pPr>
              <w:jc w:val="left"/>
            </w:pPr>
            <w:r>
              <w:rPr>
                <w:rFonts w:ascii="Times New Roman" w:hAnsi="Times New Roman"/>
                <w:sz w:val="18"/>
              </w:rPr>
              <w:t>Cơ sở hiện hữu: Số 358 Huỳnh Văn Cù, P. Thủ Dầu Một</w:t>
              <w:br/>
              <w:t>- Diện tích đất: 1.417,70 m²</w:t>
              <w:br/>
              <w:t>- Diện tích sàn xây dựng: 835,30 m²</w:t>
              <w:br/>
              <w:t>- Cấp nhà: Cấp III, kết cấu khung, sàn BTCT, tường gạch</w:t>
            </w:r>
          </w:p>
        </w:tc>
        <w:tc>
          <w:tcPr>
            <w:tcW w:type="dxa" w:w="1296"/>
            <w:tcMar>
              <w:top w:w="50" w:type="dxa"/>
              <w:bottom w:w="50" w:type="dxa"/>
              <w:left w:w="60" w:type="dxa"/>
              <w:right w:w="60" w:type="dxa"/>
            </w:tcMar>
          </w:tcPr>
          <w:p>
            <w:pPr>
              <w:jc w:val="right"/>
            </w:pPr>
            <w:r>
              <w:rPr>
                <w:rFonts w:ascii="Times New Roman" w:hAnsi="Times New Roman"/>
                <w:sz w:val="18"/>
              </w:rPr>
              <w:t>835,30</w:t>
            </w:r>
          </w:p>
        </w:tc>
        <w:tc>
          <w:tcPr>
            <w:tcW w:type="dxa" w:w="1296"/>
            <w:tcMar>
              <w:top w:w="50" w:type="dxa"/>
              <w:bottom w:w="50" w:type="dxa"/>
              <w:left w:w="60" w:type="dxa"/>
              <w:right w:w="60" w:type="dxa"/>
            </w:tcMar>
          </w:tcPr>
          <w:p>
            <w:pPr>
              <w:jc w:val="center"/>
            </w:pPr>
            <w:r>
              <w:rPr>
                <w:rFonts w:ascii="Times New Roman" w:hAnsi="Times New Roman"/>
                <w:sz w:val="18"/>
              </w:rPr>
              <w:t>85</w:t>
            </w:r>
          </w:p>
        </w:tc>
        <w:tc>
          <w:tcPr>
            <w:tcW w:type="dxa" w:w="1296"/>
            <w:tcMar>
              <w:top w:w="50" w:type="dxa"/>
              <w:bottom w:w="50" w:type="dxa"/>
              <w:left w:w="60" w:type="dxa"/>
              <w:right w:w="60" w:type="dxa"/>
            </w:tcMar>
          </w:tcPr>
          <w:p>
            <w:pPr>
              <w:jc w:val="right"/>
            </w:pPr>
            <w:r>
              <w:rPr>
                <w:rFonts w:ascii="Times New Roman" w:hAnsi="Times New Roman"/>
                <w:sz w:val="18"/>
              </w:rPr>
              <w:t>2.331,00</w:t>
            </w:r>
          </w:p>
        </w:tc>
        <w:tc>
          <w:tcPr>
            <w:tcW w:type="dxa" w:w="1296"/>
            <w:tcMar>
              <w:top w:w="50" w:type="dxa"/>
              <w:bottom w:w="50" w:type="dxa"/>
              <w:left w:w="60" w:type="dxa"/>
              <w:right w:w="60" w:type="dxa"/>
            </w:tcMar>
          </w:tcPr>
          <w:p>
            <w:pPr>
              <w:jc w:val="right"/>
            </w:pPr>
            <w:r>
              <w:rPr>
                <w:rFonts w:ascii="Times New Roman" w:hAnsi="Times New Roman"/>
                <w:sz w:val="18"/>
              </w:rPr>
              <w:t>-1.495,70</w:t>
            </w:r>
          </w:p>
        </w:tc>
        <w:tc>
          <w:tcPr>
            <w:tcW w:type="dxa" w:w="1296"/>
            <w:tcMar>
              <w:top w:w="50" w:type="dxa"/>
              <w:bottom w:w="50" w:type="dxa"/>
              <w:left w:w="60" w:type="dxa"/>
              <w:right w:w="60" w:type="dxa"/>
            </w:tcMar>
          </w:tcPr>
          <w:p>
            <w:pPr>
              <w:jc w:val="left"/>
            </w:pPr>
            <w:r>
              <w:rPr>
                <w:rFonts w:ascii="Times New Roman" w:hAnsi="Times New Roman"/>
                <w:sz w:val="18"/>
              </w:rPr>
              <w:t>Biên bản bàn giao ngày 09/5/2019; thực tế mới đáp ứng 35,83% định mức.</w:t>
            </w:r>
          </w:p>
        </w:tc>
      </w:tr>
      <w:tr>
        <w:tc>
          <w:tcPr>
            <w:tcW w:type="dxa" w:w="1296"/>
            <w:tcMar>
              <w:top w:w="50" w:type="dxa"/>
              <w:bottom w:w="50" w:type="dxa"/>
              <w:left w:w="60" w:type="dxa"/>
              <w:right w:w="60" w:type="dxa"/>
            </w:tcMar>
          </w:tcPr>
          <w:p>
            <w:pPr>
              <w:jc w:val="center"/>
            </w:pPr>
            <w:r>
              <w:rPr>
                <w:rFonts w:ascii="Times New Roman" w:hAnsi="Times New Roman"/>
                <w:sz w:val="18"/>
              </w:rPr>
              <w:t>2</w:t>
            </w:r>
          </w:p>
        </w:tc>
        <w:tc>
          <w:tcPr>
            <w:tcW w:type="dxa" w:w="1296"/>
            <w:tcMar>
              <w:top w:w="50" w:type="dxa"/>
              <w:bottom w:w="50" w:type="dxa"/>
              <w:left w:w="60" w:type="dxa"/>
              <w:right w:w="60" w:type="dxa"/>
            </w:tcMar>
          </w:tcPr>
          <w:p>
            <w:pPr>
              <w:jc w:val="left"/>
            </w:pPr>
            <w:r>
              <w:rPr>
                <w:rFonts w:ascii="Times New Roman" w:hAnsi="Times New Roman"/>
                <w:sz w:val="18"/>
              </w:rPr>
              <w:t>Cơ sở đề nghị điều chuyển: Điểm trạm y tế 3 (P. Chánh Mỹ cũ)</w:t>
              <w:br/>
              <w:t>- Vị trí: Đường Huỳnh Văn Cù (liền kề số 358)</w:t>
              <w:br/>
              <w:t>- Diện tích khuôn viên đất: 1.276,20 m²</w:t>
            </w:r>
          </w:p>
        </w:tc>
        <w:tc>
          <w:tcPr>
            <w:tcW w:type="dxa" w:w="1296"/>
            <w:tcMar>
              <w:top w:w="50" w:type="dxa"/>
              <w:bottom w:w="50" w:type="dxa"/>
              <w:left w:w="60" w:type="dxa"/>
              <w:right w:w="60" w:type="dxa"/>
            </w:tcMar>
          </w:tcPr>
          <w:p>
            <w:pPr>
              <w:jc w:val="right"/>
            </w:pPr>
            <w:r>
              <w:rPr>
                <w:rFonts w:ascii="Times New Roman" w:hAnsi="Times New Roman"/>
                <w:sz w:val="18"/>
              </w:rPr>
              <w:t>1.276,20 (đất)</w:t>
            </w:r>
          </w:p>
        </w:tc>
        <w:tc>
          <w:tcPr>
            <w:tcW w:type="dxa" w:w="1296"/>
            <w:tcMar>
              <w:top w:w="50" w:type="dxa"/>
              <w:bottom w:w="50" w:type="dxa"/>
              <w:left w:w="60" w:type="dxa"/>
              <w:right w:w="60" w:type="dxa"/>
            </w:tcMar>
          </w:tcPr>
          <w:p>
            <w:pPr>
              <w:jc w:val="center"/>
            </w:pPr>
            <w:r>
              <w:rPr>
                <w:rFonts w:ascii="Times New Roman" w:hAnsi="Times New Roman"/>
                <w:sz w:val="18"/>
              </w:rPr>
              <w:t>-</w:t>
            </w:r>
          </w:p>
        </w:tc>
        <w:tc>
          <w:tcPr>
            <w:tcW w:type="dxa" w:w="1296"/>
            <w:tcMar>
              <w:top w:w="50" w:type="dxa"/>
              <w:bottom w:w="50" w:type="dxa"/>
              <w:left w:w="60" w:type="dxa"/>
              <w:right w:w="60" w:type="dxa"/>
            </w:tcMar>
          </w:tcPr>
          <w:p>
            <w:pPr>
              <w:jc w:val="right"/>
            </w:pPr>
            <w:r>
              <w:rPr>
                <w:rFonts w:ascii="Times New Roman" w:hAnsi="Times New Roman"/>
                <w:sz w:val="18"/>
              </w:rPr>
              <w:t>1.276,20</w:t>
            </w:r>
          </w:p>
        </w:tc>
        <w:tc>
          <w:tcPr>
            <w:tcW w:type="dxa" w:w="1296"/>
            <w:tcMar>
              <w:top w:w="50" w:type="dxa"/>
              <w:bottom w:w="50" w:type="dxa"/>
              <w:left w:w="60" w:type="dxa"/>
              <w:right w:w="60" w:type="dxa"/>
            </w:tcMar>
          </w:tcPr>
          <w:p>
            <w:pPr>
              <w:jc w:val="right"/>
            </w:pPr>
            <w:r>
              <w:rPr>
                <w:rFonts w:ascii="Times New Roman" w:hAnsi="Times New Roman"/>
                <w:sz w:val="18"/>
              </w:rPr>
              <w:t>0,00</w:t>
            </w:r>
          </w:p>
        </w:tc>
        <w:tc>
          <w:tcPr>
            <w:tcW w:type="dxa" w:w="1296"/>
            <w:tcMar>
              <w:top w:w="50" w:type="dxa"/>
              <w:bottom w:w="50" w:type="dxa"/>
              <w:left w:w="60" w:type="dxa"/>
              <w:right w:w="60" w:type="dxa"/>
            </w:tcMar>
          </w:tcPr>
          <w:p>
            <w:pPr>
              <w:jc w:val="left"/>
            </w:pPr>
            <w:r>
              <w:rPr>
                <w:rFonts w:ascii="Times New Roman" w:hAnsi="Times New Roman"/>
                <w:sz w:val="18"/>
              </w:rPr>
              <w:t>Tờ trình 195, 427 của Trạm Y tế và CV 1136 của UBND phường. Đang bỏ trống.</w:t>
            </w:r>
          </w:p>
        </w:tc>
      </w:tr>
      <w:tr>
        <w:tc>
          <w:tcPr>
            <w:tcW w:type="dxa" w:w="1296"/>
            <w:tcMar>
              <w:top w:w="50" w:type="dxa"/>
              <w:bottom w:w="50" w:type="dxa"/>
              <w:left w:w="60" w:type="dxa"/>
              <w:right w:w="60" w:type="dxa"/>
            </w:tcMar>
          </w:tcPr>
          <w:p>
            <w:pPr>
              <w:jc w:val="center"/>
            </w:pPr>
            <w:r>
              <w:rPr>
                <w:rFonts w:ascii="Times New Roman" w:hAnsi="Times New Roman"/>
                <w:sz w:val="18"/>
              </w:rPr>
            </w:r>
          </w:p>
        </w:tc>
        <w:tc>
          <w:tcPr>
            <w:tcW w:type="dxa" w:w="1296"/>
            <w:tcMar>
              <w:top w:w="50" w:type="dxa"/>
              <w:bottom w:w="50" w:type="dxa"/>
              <w:left w:w="60" w:type="dxa"/>
              <w:right w:w="60" w:type="dxa"/>
            </w:tcMar>
          </w:tcPr>
          <w:p>
            <w:pPr>
              <w:jc w:val="left"/>
            </w:pPr>
            <w:r>
              <w:rPr>
                <w:rFonts w:ascii="Times New Roman" w:hAnsi="Times New Roman"/>
                <w:sz w:val="18"/>
              </w:rPr>
              <w:t>II. DIỆN TÍCH SÀN LÀM VIỆC THEO TIÊU CHUẨN ĐỊNH MỨC NGHỊ ĐỊNH 155/2025/NĐ-CP</w:t>
            </w:r>
          </w:p>
        </w:tc>
        <w:tc>
          <w:tcPr>
            <w:tcW w:type="dxa" w:w="1296"/>
            <w:tcMar>
              <w:top w:w="50" w:type="dxa"/>
              <w:bottom w:w="50" w:type="dxa"/>
              <w:left w:w="60" w:type="dxa"/>
              <w:right w:w="60" w:type="dxa"/>
            </w:tcMar>
          </w:tcPr>
          <w:p>
            <w:pPr>
              <w:jc w:val="right"/>
            </w:pPr>
            <w:r>
              <w:rPr>
                <w:rFonts w:ascii="Times New Roman" w:hAnsi="Times New Roman"/>
                <w:sz w:val="18"/>
              </w:rPr>
              <w:t>835,30</w:t>
            </w:r>
          </w:p>
        </w:tc>
        <w:tc>
          <w:tcPr>
            <w:tcW w:type="dxa" w:w="1296"/>
            <w:tcMar>
              <w:top w:w="50" w:type="dxa"/>
              <w:bottom w:w="50" w:type="dxa"/>
              <w:left w:w="60" w:type="dxa"/>
              <w:right w:w="60" w:type="dxa"/>
            </w:tcMar>
          </w:tcPr>
          <w:p>
            <w:pPr>
              <w:jc w:val="center"/>
            </w:pPr>
            <w:r>
              <w:rPr>
                <w:rFonts w:ascii="Times New Roman" w:hAnsi="Times New Roman"/>
                <w:sz w:val="18"/>
              </w:rPr>
              <w:t>85</w:t>
            </w:r>
          </w:p>
        </w:tc>
        <w:tc>
          <w:tcPr>
            <w:tcW w:type="dxa" w:w="1296"/>
            <w:tcMar>
              <w:top w:w="50" w:type="dxa"/>
              <w:bottom w:w="50" w:type="dxa"/>
              <w:left w:w="60" w:type="dxa"/>
              <w:right w:w="60" w:type="dxa"/>
            </w:tcMar>
          </w:tcPr>
          <w:p>
            <w:pPr>
              <w:jc w:val="right"/>
            </w:pPr>
            <w:r>
              <w:rPr>
                <w:rFonts w:ascii="Times New Roman" w:hAnsi="Times New Roman"/>
                <w:sz w:val="18"/>
              </w:rPr>
              <w:t>2.331,00</w:t>
            </w:r>
          </w:p>
        </w:tc>
        <w:tc>
          <w:tcPr>
            <w:tcW w:type="dxa" w:w="1296"/>
            <w:tcMar>
              <w:top w:w="50" w:type="dxa"/>
              <w:bottom w:w="50" w:type="dxa"/>
              <w:left w:w="60" w:type="dxa"/>
              <w:right w:w="60" w:type="dxa"/>
            </w:tcMar>
          </w:tcPr>
          <w:p>
            <w:pPr>
              <w:jc w:val="right"/>
            </w:pPr>
            <w:r>
              <w:rPr>
                <w:rFonts w:ascii="Times New Roman" w:hAnsi="Times New Roman"/>
                <w:sz w:val="18"/>
              </w:rPr>
              <w:t>-1.495,70</w:t>
            </w:r>
          </w:p>
        </w:tc>
        <w:tc>
          <w:tcPr>
            <w:tcW w:type="dxa" w:w="1296"/>
            <w:tcMar>
              <w:top w:w="50" w:type="dxa"/>
              <w:bottom w:w="50" w:type="dxa"/>
              <w:left w:w="60" w:type="dxa"/>
              <w:right w:w="60" w:type="dxa"/>
            </w:tcMar>
          </w:tcPr>
          <w:p>
            <w:pPr>
              <w:jc w:val="left"/>
            </w:pPr>
            <w:r>
              <w:rPr>
                <w:rFonts w:ascii="Times New Roman" w:hAnsi="Times New Roman"/>
                <w:sz w:val="18"/>
              </w:rPr>
              <w:t>Tổng nhu cầu định mức theo NĐ 155/2025/NĐ-CP</w:t>
            </w:r>
          </w:p>
        </w:tc>
      </w:tr>
      <w:tr>
        <w:tc>
          <w:tcPr>
            <w:tcW w:type="dxa" w:w="1296"/>
            <w:tcMar>
              <w:top w:w="50" w:type="dxa"/>
              <w:bottom w:w="50" w:type="dxa"/>
              <w:left w:w="60" w:type="dxa"/>
              <w:right w:w="60" w:type="dxa"/>
            </w:tcMar>
          </w:tcPr>
          <w:p>
            <w:pPr>
              <w:jc w:val="center"/>
            </w:pPr>
            <w:r>
              <w:rPr>
                <w:rFonts w:ascii="Times New Roman" w:hAnsi="Times New Roman"/>
                <w:sz w:val="18"/>
              </w:rPr>
              <w:t>1</w:t>
            </w:r>
          </w:p>
        </w:tc>
        <w:tc>
          <w:tcPr>
            <w:tcW w:type="dxa" w:w="1296"/>
            <w:tcMar>
              <w:top w:w="50" w:type="dxa"/>
              <w:bottom w:w="50" w:type="dxa"/>
              <w:left w:w="60" w:type="dxa"/>
              <w:right w:w="60" w:type="dxa"/>
            </w:tcMar>
          </w:tcPr>
          <w:p>
            <w:pPr>
              <w:jc w:val="left"/>
            </w:pPr>
            <w:r>
              <w:rPr>
                <w:rFonts w:ascii="Times New Roman" w:hAnsi="Times New Roman"/>
                <w:sz w:val="18"/>
              </w:rPr>
              <w:t>Diện tích làm việc của các chức danh (85 người):</w:t>
            </w:r>
          </w:p>
        </w:tc>
        <w:tc>
          <w:tcPr>
            <w:tcW w:type="dxa" w:w="1296"/>
            <w:tcMar>
              <w:top w:w="50" w:type="dxa"/>
              <w:bottom w:w="50" w:type="dxa"/>
              <w:left w:w="60" w:type="dxa"/>
              <w:right w:w="60" w:type="dxa"/>
            </w:tcMar>
          </w:tcPr>
          <w:p>
            <w:pPr>
              <w:jc w:val="right"/>
            </w:pPr>
            <w:r>
              <w:rPr>
                <w:rFonts w:ascii="Times New Roman" w:hAnsi="Times New Roman"/>
                <w:sz w:val="18"/>
              </w:rPr>
              <w:t>535,30</w:t>
            </w:r>
          </w:p>
        </w:tc>
        <w:tc>
          <w:tcPr>
            <w:tcW w:type="dxa" w:w="1296"/>
            <w:tcMar>
              <w:top w:w="50" w:type="dxa"/>
              <w:bottom w:w="50" w:type="dxa"/>
              <w:left w:w="60" w:type="dxa"/>
              <w:right w:w="60" w:type="dxa"/>
            </w:tcMar>
          </w:tcPr>
          <w:p>
            <w:pPr>
              <w:jc w:val="center"/>
            </w:pPr>
            <w:r>
              <w:rPr>
                <w:rFonts w:ascii="Times New Roman" w:hAnsi="Times New Roman"/>
                <w:sz w:val="18"/>
              </w:rPr>
              <w:t>85</w:t>
            </w:r>
          </w:p>
        </w:tc>
        <w:tc>
          <w:tcPr>
            <w:tcW w:type="dxa" w:w="1296"/>
            <w:tcMar>
              <w:top w:w="50" w:type="dxa"/>
              <w:bottom w:w="50" w:type="dxa"/>
              <w:left w:w="60" w:type="dxa"/>
              <w:right w:w="60" w:type="dxa"/>
            </w:tcMar>
          </w:tcPr>
          <w:p>
            <w:pPr>
              <w:jc w:val="right"/>
            </w:pPr>
            <w:r>
              <w:rPr>
                <w:rFonts w:ascii="Times New Roman" w:hAnsi="Times New Roman"/>
                <w:sz w:val="18"/>
              </w:rPr>
              <w:t>1.260,00</w:t>
            </w:r>
          </w:p>
        </w:tc>
        <w:tc>
          <w:tcPr>
            <w:tcW w:type="dxa" w:w="1296"/>
            <w:tcMar>
              <w:top w:w="50" w:type="dxa"/>
              <w:bottom w:w="50" w:type="dxa"/>
              <w:left w:w="60" w:type="dxa"/>
              <w:right w:w="60" w:type="dxa"/>
            </w:tcMar>
          </w:tcPr>
          <w:p>
            <w:pPr>
              <w:jc w:val="right"/>
            </w:pPr>
            <w:r>
              <w:rPr>
                <w:rFonts w:ascii="Times New Roman" w:hAnsi="Times New Roman"/>
                <w:sz w:val="18"/>
              </w:rPr>
              <w:t>-724,70</w:t>
            </w:r>
          </w:p>
        </w:tc>
        <w:tc>
          <w:tcPr>
            <w:tcW w:type="dxa" w:w="1296"/>
            <w:tcMar>
              <w:top w:w="50" w:type="dxa"/>
              <w:bottom w:w="50" w:type="dxa"/>
              <w:left w:w="60" w:type="dxa"/>
              <w:right w:w="60" w:type="dxa"/>
            </w:tcMar>
          </w:tcPr>
          <w:p>
            <w:pPr>
              <w:jc w:val="left"/>
            </w:pPr>
            <w:r>
              <w:rPr>
                <w:rFonts w:ascii="Times New Roman" w:hAnsi="Times New Roman"/>
                <w:sz w:val="18"/>
              </w:rPr>
              <w:t>Quy định tại Phụ lục II ban hành kèm theo Nghị định số 155/2025/NĐ-CP</w:t>
            </w:r>
          </w:p>
        </w:tc>
      </w:tr>
      <w:tr>
        <w:tc>
          <w:tcPr>
            <w:tcW w:type="dxa" w:w="1296"/>
            <w:tcMar>
              <w:top w:w="50" w:type="dxa"/>
              <w:bottom w:w="50" w:type="dxa"/>
              <w:left w:w="60" w:type="dxa"/>
              <w:right w:w="60" w:type="dxa"/>
            </w:tcMar>
          </w:tcPr>
          <w:p>
            <w:pPr>
              <w:jc w:val="center"/>
            </w:pPr>
            <w:r>
              <w:rPr>
                <w:rFonts w:ascii="Times New Roman" w:hAnsi="Times New Roman"/>
                <w:sz w:val="18"/>
              </w:rPr>
              <w:t>1.1</w:t>
            </w:r>
          </w:p>
        </w:tc>
        <w:tc>
          <w:tcPr>
            <w:tcW w:type="dxa" w:w="1296"/>
            <w:tcMar>
              <w:top w:w="50" w:type="dxa"/>
              <w:bottom w:w="50" w:type="dxa"/>
              <w:left w:w="60" w:type="dxa"/>
              <w:right w:w="60" w:type="dxa"/>
            </w:tcMar>
          </w:tcPr>
          <w:p>
            <w:pPr>
              <w:jc w:val="left"/>
            </w:pPr>
            <w:r>
              <w:rPr>
                <w:rFonts w:ascii="Times New Roman" w:hAnsi="Times New Roman"/>
                <w:sz w:val="18"/>
              </w:rPr>
              <w:t>Ban Giám đốc Chi nhánh: 03 người</w:t>
            </w:r>
          </w:p>
        </w:tc>
        <w:tc>
          <w:tcPr>
            <w:tcW w:type="dxa" w:w="1296"/>
            <w:tcMar>
              <w:top w:w="50" w:type="dxa"/>
              <w:bottom w:w="50" w:type="dxa"/>
              <w:left w:w="60" w:type="dxa"/>
              <w:right w:w="60" w:type="dxa"/>
            </w:tcMar>
          </w:tcPr>
          <w:p>
            <w:pPr>
              <w:jc w:val="right"/>
            </w:pPr>
            <w:r>
              <w:rPr>
                <w:rFonts w:ascii="Times New Roman" w:hAnsi="Times New Roman"/>
                <w:sz w:val="18"/>
              </w:rPr>
              <w:t>60,00</w:t>
            </w:r>
          </w:p>
        </w:tc>
        <w:tc>
          <w:tcPr>
            <w:tcW w:type="dxa" w:w="1296"/>
            <w:tcMar>
              <w:top w:w="50" w:type="dxa"/>
              <w:bottom w:w="50" w:type="dxa"/>
              <w:left w:w="60" w:type="dxa"/>
              <w:right w:w="60" w:type="dxa"/>
            </w:tcMar>
          </w:tcPr>
          <w:p>
            <w:pPr>
              <w:jc w:val="center"/>
            </w:pPr>
            <w:r>
              <w:rPr>
                <w:rFonts w:ascii="Times New Roman" w:hAnsi="Times New Roman"/>
                <w:sz w:val="18"/>
              </w:rPr>
              <w:t>03</w:t>
            </w:r>
          </w:p>
        </w:tc>
        <w:tc>
          <w:tcPr>
            <w:tcW w:type="dxa" w:w="1296"/>
            <w:tcMar>
              <w:top w:w="50" w:type="dxa"/>
              <w:bottom w:w="50" w:type="dxa"/>
              <w:left w:w="60" w:type="dxa"/>
              <w:right w:w="60" w:type="dxa"/>
            </w:tcMar>
          </w:tcPr>
          <w:p>
            <w:pPr>
              <w:jc w:val="right"/>
            </w:pPr>
            <w:r>
              <w:rPr>
                <w:rFonts w:ascii="Times New Roman" w:hAnsi="Times New Roman"/>
                <w:sz w:val="18"/>
              </w:rPr>
              <w:t>60,00</w:t>
            </w:r>
          </w:p>
        </w:tc>
        <w:tc>
          <w:tcPr>
            <w:tcW w:type="dxa" w:w="1296"/>
            <w:tcMar>
              <w:top w:w="50" w:type="dxa"/>
              <w:bottom w:w="50" w:type="dxa"/>
              <w:left w:w="60" w:type="dxa"/>
              <w:right w:w="60" w:type="dxa"/>
            </w:tcMar>
          </w:tcPr>
          <w:p>
            <w:pPr>
              <w:jc w:val="right"/>
            </w:pPr>
            <w:r>
              <w:rPr>
                <w:rFonts w:ascii="Times New Roman" w:hAnsi="Times New Roman"/>
                <w:sz w:val="18"/>
              </w:rPr>
              <w:t>0,00</w:t>
            </w:r>
          </w:p>
        </w:tc>
        <w:tc>
          <w:tcPr>
            <w:tcW w:type="dxa" w:w="1296"/>
            <w:tcMar>
              <w:top w:w="50" w:type="dxa"/>
              <w:bottom w:w="50" w:type="dxa"/>
              <w:left w:w="60" w:type="dxa"/>
              <w:right w:w="60" w:type="dxa"/>
            </w:tcMar>
          </w:tcPr>
          <w:p>
            <w:pPr>
              <w:jc w:val="left"/>
            </w:pPr>
            <w:r>
              <w:rPr>
                <w:rFonts w:ascii="Times New Roman" w:hAnsi="Times New Roman"/>
                <w:sz w:val="18"/>
              </w:rPr>
              <w:t>Định mức tối đa 20 m²/người</w:t>
            </w:r>
          </w:p>
        </w:tc>
      </w:tr>
      <w:tr>
        <w:tc>
          <w:tcPr>
            <w:tcW w:type="dxa" w:w="1296"/>
            <w:tcMar>
              <w:top w:w="50" w:type="dxa"/>
              <w:bottom w:w="50" w:type="dxa"/>
              <w:left w:w="60" w:type="dxa"/>
              <w:right w:w="60" w:type="dxa"/>
            </w:tcMar>
          </w:tcPr>
          <w:p>
            <w:pPr>
              <w:jc w:val="center"/>
            </w:pPr>
            <w:r>
              <w:rPr>
                <w:rFonts w:ascii="Times New Roman" w:hAnsi="Times New Roman"/>
                <w:sz w:val="18"/>
              </w:rPr>
              <w:t>1.2</w:t>
            </w:r>
          </w:p>
        </w:tc>
        <w:tc>
          <w:tcPr>
            <w:tcW w:type="dxa" w:w="1296"/>
            <w:tcMar>
              <w:top w:w="50" w:type="dxa"/>
              <w:bottom w:w="50" w:type="dxa"/>
              <w:left w:w="60" w:type="dxa"/>
              <w:right w:w="60" w:type="dxa"/>
            </w:tcMar>
          </w:tcPr>
          <w:p>
            <w:pPr>
              <w:jc w:val="left"/>
            </w:pPr>
            <w:r>
              <w:rPr>
                <w:rFonts w:ascii="Times New Roman" w:hAnsi="Times New Roman"/>
                <w:sz w:val="18"/>
              </w:rPr>
              <w:t>Chuyên viên và các chức danh tương đương: 79 người</w:t>
              <w:br/>
              <w:t>(Gồm 42 viên chức chuyên ngành + 37 chuyên viên dùng chung)</w:t>
            </w:r>
          </w:p>
        </w:tc>
        <w:tc>
          <w:tcPr>
            <w:tcW w:type="dxa" w:w="1296"/>
            <w:tcMar>
              <w:top w:w="50" w:type="dxa"/>
              <w:bottom w:w="50" w:type="dxa"/>
              <w:left w:w="60" w:type="dxa"/>
              <w:right w:w="60" w:type="dxa"/>
            </w:tcMar>
          </w:tcPr>
          <w:p>
            <w:pPr>
              <w:jc w:val="right"/>
            </w:pPr>
            <w:r>
              <w:rPr>
                <w:rFonts w:ascii="Times New Roman" w:hAnsi="Times New Roman"/>
                <w:sz w:val="18"/>
              </w:rPr>
              <w:t>445,30</w:t>
            </w:r>
          </w:p>
        </w:tc>
        <w:tc>
          <w:tcPr>
            <w:tcW w:type="dxa" w:w="1296"/>
            <w:tcMar>
              <w:top w:w="50" w:type="dxa"/>
              <w:bottom w:w="50" w:type="dxa"/>
              <w:left w:w="60" w:type="dxa"/>
              <w:right w:w="60" w:type="dxa"/>
            </w:tcMar>
          </w:tcPr>
          <w:p>
            <w:pPr>
              <w:jc w:val="center"/>
            </w:pPr>
            <w:r>
              <w:rPr>
                <w:rFonts w:ascii="Times New Roman" w:hAnsi="Times New Roman"/>
                <w:sz w:val="18"/>
              </w:rPr>
              <w:t>79</w:t>
            </w:r>
          </w:p>
        </w:tc>
        <w:tc>
          <w:tcPr>
            <w:tcW w:type="dxa" w:w="1296"/>
            <w:tcMar>
              <w:top w:w="50" w:type="dxa"/>
              <w:bottom w:w="50" w:type="dxa"/>
              <w:left w:w="60" w:type="dxa"/>
              <w:right w:w="60" w:type="dxa"/>
            </w:tcMar>
          </w:tcPr>
          <w:p>
            <w:pPr>
              <w:jc w:val="right"/>
            </w:pPr>
            <w:r>
              <w:rPr>
                <w:rFonts w:ascii="Times New Roman" w:hAnsi="Times New Roman"/>
                <w:sz w:val="18"/>
              </w:rPr>
              <w:t>1.185,00</w:t>
            </w:r>
          </w:p>
        </w:tc>
        <w:tc>
          <w:tcPr>
            <w:tcW w:type="dxa" w:w="1296"/>
            <w:tcMar>
              <w:top w:w="50" w:type="dxa"/>
              <w:bottom w:w="50" w:type="dxa"/>
              <w:left w:w="60" w:type="dxa"/>
              <w:right w:w="60" w:type="dxa"/>
            </w:tcMar>
          </w:tcPr>
          <w:p>
            <w:pPr>
              <w:jc w:val="right"/>
            </w:pPr>
            <w:r>
              <w:rPr>
                <w:rFonts w:ascii="Times New Roman" w:hAnsi="Times New Roman"/>
                <w:sz w:val="18"/>
              </w:rPr>
              <w:t>-739,70</w:t>
            </w:r>
          </w:p>
        </w:tc>
        <w:tc>
          <w:tcPr>
            <w:tcW w:type="dxa" w:w="1296"/>
            <w:tcMar>
              <w:top w:w="50" w:type="dxa"/>
              <w:bottom w:w="50" w:type="dxa"/>
              <w:left w:w="60" w:type="dxa"/>
              <w:right w:w="60" w:type="dxa"/>
            </w:tcMar>
          </w:tcPr>
          <w:p>
            <w:pPr>
              <w:jc w:val="left"/>
            </w:pPr>
            <w:r>
              <w:rPr>
                <w:rFonts w:ascii="Times New Roman" w:hAnsi="Times New Roman"/>
                <w:sz w:val="18"/>
              </w:rPr>
              <w:t>Định mức tối đa 15 m²/người (Số thứ tự 9, Phụ lục II)</w:t>
            </w:r>
          </w:p>
        </w:tc>
      </w:tr>
      <w:tr>
        <w:tc>
          <w:tcPr>
            <w:tcW w:type="dxa" w:w="1296"/>
            <w:tcMar>
              <w:top w:w="50" w:type="dxa"/>
              <w:bottom w:w="50" w:type="dxa"/>
              <w:left w:w="60" w:type="dxa"/>
              <w:right w:w="60" w:type="dxa"/>
            </w:tcMar>
          </w:tcPr>
          <w:p>
            <w:pPr>
              <w:jc w:val="center"/>
            </w:pPr>
            <w:r>
              <w:rPr>
                <w:rFonts w:ascii="Times New Roman" w:hAnsi="Times New Roman"/>
                <w:sz w:val="18"/>
              </w:rPr>
              <w:t>1.3</w:t>
            </w:r>
          </w:p>
        </w:tc>
        <w:tc>
          <w:tcPr>
            <w:tcW w:type="dxa" w:w="1296"/>
            <w:tcMar>
              <w:top w:w="50" w:type="dxa"/>
              <w:bottom w:w="50" w:type="dxa"/>
              <w:left w:w="60" w:type="dxa"/>
              <w:right w:w="60" w:type="dxa"/>
            </w:tcMar>
          </w:tcPr>
          <w:p>
            <w:pPr>
              <w:jc w:val="left"/>
            </w:pPr>
            <w:r>
              <w:rPr>
                <w:rFonts w:ascii="Times New Roman" w:hAnsi="Times New Roman"/>
                <w:sz w:val="18"/>
              </w:rPr>
              <w:t>Cá nhân ký hợp đồng lao động phục vụ: 03 người</w:t>
              <w:br/>
              <w:t>(01 nhân viên phục vụ, 02 nhân viên bảo vệ)</w:t>
            </w:r>
          </w:p>
        </w:tc>
        <w:tc>
          <w:tcPr>
            <w:tcW w:type="dxa" w:w="1296"/>
            <w:tcMar>
              <w:top w:w="50" w:type="dxa"/>
              <w:bottom w:w="50" w:type="dxa"/>
              <w:left w:w="60" w:type="dxa"/>
              <w:right w:w="60" w:type="dxa"/>
            </w:tcMar>
          </w:tcPr>
          <w:p>
            <w:pPr>
              <w:jc w:val="right"/>
            </w:pPr>
            <w:r>
              <w:rPr>
                <w:rFonts w:ascii="Times New Roman" w:hAnsi="Times New Roman"/>
                <w:sz w:val="18"/>
              </w:rPr>
              <w:t>30,00</w:t>
            </w:r>
          </w:p>
        </w:tc>
        <w:tc>
          <w:tcPr>
            <w:tcW w:type="dxa" w:w="1296"/>
            <w:tcMar>
              <w:top w:w="50" w:type="dxa"/>
              <w:bottom w:w="50" w:type="dxa"/>
              <w:left w:w="60" w:type="dxa"/>
              <w:right w:w="60" w:type="dxa"/>
            </w:tcMar>
          </w:tcPr>
          <w:p>
            <w:pPr>
              <w:jc w:val="center"/>
            </w:pPr>
            <w:r>
              <w:rPr>
                <w:rFonts w:ascii="Times New Roman" w:hAnsi="Times New Roman"/>
                <w:sz w:val="18"/>
              </w:rPr>
              <w:t>03</w:t>
            </w:r>
          </w:p>
        </w:tc>
        <w:tc>
          <w:tcPr>
            <w:tcW w:type="dxa" w:w="1296"/>
            <w:tcMar>
              <w:top w:w="50" w:type="dxa"/>
              <w:bottom w:w="50" w:type="dxa"/>
              <w:left w:w="60" w:type="dxa"/>
              <w:right w:w="60" w:type="dxa"/>
            </w:tcMar>
          </w:tcPr>
          <w:p>
            <w:pPr>
              <w:jc w:val="right"/>
            </w:pPr>
            <w:r>
              <w:rPr>
                <w:rFonts w:ascii="Times New Roman" w:hAnsi="Times New Roman"/>
                <w:sz w:val="18"/>
              </w:rPr>
              <w:t>30,00</w:t>
            </w:r>
          </w:p>
        </w:tc>
        <w:tc>
          <w:tcPr>
            <w:tcW w:type="dxa" w:w="1296"/>
            <w:tcMar>
              <w:top w:w="50" w:type="dxa"/>
              <w:bottom w:w="50" w:type="dxa"/>
              <w:left w:w="60" w:type="dxa"/>
              <w:right w:w="60" w:type="dxa"/>
            </w:tcMar>
          </w:tcPr>
          <w:p>
            <w:pPr>
              <w:jc w:val="right"/>
            </w:pPr>
            <w:r>
              <w:rPr>
                <w:rFonts w:ascii="Times New Roman" w:hAnsi="Times New Roman"/>
                <w:sz w:val="18"/>
              </w:rPr>
              <w:t>0,00</w:t>
            </w:r>
          </w:p>
        </w:tc>
        <w:tc>
          <w:tcPr>
            <w:tcW w:type="dxa" w:w="1296"/>
            <w:tcMar>
              <w:top w:w="50" w:type="dxa"/>
              <w:bottom w:w="50" w:type="dxa"/>
              <w:left w:w="60" w:type="dxa"/>
              <w:right w:w="60" w:type="dxa"/>
            </w:tcMar>
          </w:tcPr>
          <w:p>
            <w:pPr>
              <w:jc w:val="left"/>
            </w:pPr>
            <w:r>
              <w:rPr>
                <w:rFonts w:ascii="Times New Roman" w:hAnsi="Times New Roman"/>
                <w:sz w:val="18"/>
              </w:rPr>
              <w:t>Định mức tối đa 10 m²/người (Số thứ tự 10, Phụ lục II)</w:t>
            </w:r>
          </w:p>
        </w:tc>
      </w:tr>
      <w:tr>
        <w:tc>
          <w:tcPr>
            <w:tcW w:type="dxa" w:w="1296"/>
            <w:tcMar>
              <w:top w:w="50" w:type="dxa"/>
              <w:bottom w:w="50" w:type="dxa"/>
              <w:left w:w="60" w:type="dxa"/>
              <w:right w:w="60" w:type="dxa"/>
            </w:tcMar>
            <w:shd w:fill="EFF6FF"/>
          </w:tcPr>
          <w:p>
            <w:pPr>
              <w:jc w:val="center"/>
            </w:pPr>
            <w:r>
              <w:rPr>
                <w:rFonts w:ascii="Times New Roman" w:hAnsi="Times New Roman"/>
                <w:b/>
                <w:sz w:val="18"/>
              </w:rPr>
            </w:r>
          </w:p>
        </w:tc>
        <w:tc>
          <w:tcPr>
            <w:tcW w:type="dxa" w:w="1296"/>
            <w:tcMar>
              <w:top w:w="50" w:type="dxa"/>
              <w:bottom w:w="50" w:type="dxa"/>
              <w:left w:w="60" w:type="dxa"/>
              <w:right w:w="60" w:type="dxa"/>
            </w:tcMar>
            <w:shd w:fill="EFF6FF"/>
          </w:tcPr>
          <w:p>
            <w:pPr>
              <w:jc w:val="left"/>
            </w:pPr>
            <w:r>
              <w:rPr>
                <w:rFonts w:ascii="Times New Roman" w:hAnsi="Times New Roman"/>
                <w:b/>
                <w:sz w:val="18"/>
              </w:rPr>
              <w:t>Cộng diện tích làm việc của chức danh:</w:t>
            </w:r>
          </w:p>
        </w:tc>
        <w:tc>
          <w:tcPr>
            <w:tcW w:type="dxa" w:w="1296"/>
            <w:tcMar>
              <w:top w:w="50" w:type="dxa"/>
              <w:bottom w:w="50" w:type="dxa"/>
              <w:left w:w="60" w:type="dxa"/>
              <w:right w:w="60" w:type="dxa"/>
            </w:tcMar>
            <w:shd w:fill="EFF6FF"/>
          </w:tcPr>
          <w:p>
            <w:pPr>
              <w:jc w:val="right"/>
            </w:pPr>
            <w:r>
              <w:rPr>
                <w:rFonts w:ascii="Times New Roman" w:hAnsi="Times New Roman"/>
                <w:b/>
                <w:sz w:val="18"/>
              </w:rPr>
              <w:t>535,30</w:t>
            </w:r>
          </w:p>
        </w:tc>
        <w:tc>
          <w:tcPr>
            <w:tcW w:type="dxa" w:w="1296"/>
            <w:tcMar>
              <w:top w:w="50" w:type="dxa"/>
              <w:bottom w:w="50" w:type="dxa"/>
              <w:left w:w="60" w:type="dxa"/>
              <w:right w:w="60" w:type="dxa"/>
            </w:tcMar>
            <w:shd w:fill="EFF6FF"/>
          </w:tcPr>
          <w:p>
            <w:pPr>
              <w:jc w:val="center"/>
            </w:pPr>
            <w:r>
              <w:rPr>
                <w:rFonts w:ascii="Times New Roman" w:hAnsi="Times New Roman"/>
                <w:b/>
                <w:sz w:val="18"/>
              </w:rPr>
              <w:t>85</w:t>
            </w:r>
          </w:p>
        </w:tc>
        <w:tc>
          <w:tcPr>
            <w:tcW w:type="dxa" w:w="1296"/>
            <w:tcMar>
              <w:top w:w="50" w:type="dxa"/>
              <w:bottom w:w="50" w:type="dxa"/>
              <w:left w:w="60" w:type="dxa"/>
              <w:right w:w="60" w:type="dxa"/>
            </w:tcMar>
            <w:shd w:fill="EFF6FF"/>
          </w:tcPr>
          <w:p>
            <w:pPr>
              <w:jc w:val="right"/>
            </w:pPr>
            <w:r>
              <w:rPr>
                <w:rFonts w:ascii="Times New Roman" w:hAnsi="Times New Roman"/>
                <w:b/>
                <w:sz w:val="18"/>
              </w:rPr>
              <w:t>1.260,00</w:t>
            </w:r>
          </w:p>
        </w:tc>
        <w:tc>
          <w:tcPr>
            <w:tcW w:type="dxa" w:w="1296"/>
            <w:tcMar>
              <w:top w:w="50" w:type="dxa"/>
              <w:bottom w:w="50" w:type="dxa"/>
              <w:left w:w="60" w:type="dxa"/>
              <w:right w:w="60" w:type="dxa"/>
            </w:tcMar>
            <w:shd w:fill="EFF6FF"/>
          </w:tcPr>
          <w:p>
            <w:pPr>
              <w:jc w:val="right"/>
            </w:pPr>
            <w:r>
              <w:rPr>
                <w:rFonts w:ascii="Times New Roman" w:hAnsi="Times New Roman"/>
                <w:b/>
                <w:sz w:val="18"/>
              </w:rPr>
              <w:t>-724,70</w:t>
            </w:r>
          </w:p>
        </w:tc>
        <w:tc>
          <w:tcPr>
            <w:tcW w:type="dxa" w:w="1296"/>
            <w:tcMar>
              <w:top w:w="50" w:type="dxa"/>
              <w:bottom w:w="50" w:type="dxa"/>
              <w:left w:w="60" w:type="dxa"/>
              <w:right w:w="60" w:type="dxa"/>
            </w:tcMar>
            <w:shd w:fill="EFF6FF"/>
          </w:tcPr>
          <w:p>
            <w:pPr>
              <w:jc w:val="left"/>
            </w:pPr>
            <w:r>
              <w:rPr>
                <w:rFonts w:ascii="Times New Roman" w:hAnsi="Times New Roman"/>
                <w:b/>
                <w:sz w:val="18"/>
              </w:rPr>
              <w:t>1.230 m² + 30 m² = 1.260,00 m²</w:t>
            </w:r>
          </w:p>
        </w:tc>
      </w:tr>
      <w:tr>
        <w:tc>
          <w:tcPr>
            <w:tcW w:type="dxa" w:w="1296"/>
            <w:tcMar>
              <w:top w:w="50" w:type="dxa"/>
              <w:bottom w:w="50" w:type="dxa"/>
              <w:left w:w="60" w:type="dxa"/>
              <w:right w:w="60" w:type="dxa"/>
            </w:tcMar>
          </w:tcPr>
          <w:p>
            <w:pPr>
              <w:jc w:val="center"/>
            </w:pPr>
            <w:r>
              <w:rPr>
                <w:rFonts w:ascii="Times New Roman" w:hAnsi="Times New Roman"/>
                <w:sz w:val="18"/>
              </w:rPr>
              <w:t>2</w:t>
            </w:r>
          </w:p>
        </w:tc>
        <w:tc>
          <w:tcPr>
            <w:tcW w:type="dxa" w:w="1296"/>
            <w:tcMar>
              <w:top w:w="50" w:type="dxa"/>
              <w:bottom w:w="50" w:type="dxa"/>
              <w:left w:w="60" w:type="dxa"/>
              <w:right w:w="60" w:type="dxa"/>
            </w:tcMar>
          </w:tcPr>
          <w:p>
            <w:pPr>
              <w:jc w:val="left"/>
            </w:pPr>
            <w:r>
              <w:rPr>
                <w:rFonts w:ascii="Times New Roman" w:hAnsi="Times New Roman"/>
                <w:sz w:val="18"/>
              </w:rPr>
              <w:t>Diện tích sử dụng chung toàn trụ sở gồm:</w:t>
              <w:br/>
              <w:t>- Bộ phận Một cửa tiếp nhận và trả kết quả: 26 m²</w:t>
              <w:br/>
              <w:t>- Phòng họp chuyên môn kết hợp tiếp dân: 26 m²</w:t>
              <w:br/>
              <w:t>- Phòng máy chủ, CNTT: 15 m²</w:t>
              <w:br/>
              <w:t>- Hành lang, cầu thang, sảnh, vệ sinh, PCCC: 123,30 m²</w:t>
            </w:r>
          </w:p>
        </w:tc>
        <w:tc>
          <w:tcPr>
            <w:tcW w:type="dxa" w:w="1296"/>
            <w:tcMar>
              <w:top w:w="50" w:type="dxa"/>
              <w:bottom w:w="50" w:type="dxa"/>
              <w:left w:w="60" w:type="dxa"/>
              <w:right w:w="60" w:type="dxa"/>
            </w:tcMar>
          </w:tcPr>
          <w:p>
            <w:pPr>
              <w:jc w:val="right"/>
            </w:pPr>
            <w:r>
              <w:rPr>
                <w:rFonts w:ascii="Times New Roman" w:hAnsi="Times New Roman"/>
                <w:sz w:val="18"/>
              </w:rPr>
              <w:t>190,30</w:t>
            </w:r>
          </w:p>
        </w:tc>
        <w:tc>
          <w:tcPr>
            <w:tcW w:type="dxa" w:w="1296"/>
            <w:tcMar>
              <w:top w:w="50" w:type="dxa"/>
              <w:bottom w:w="50" w:type="dxa"/>
              <w:left w:w="60" w:type="dxa"/>
              <w:right w:w="60" w:type="dxa"/>
            </w:tcMar>
          </w:tcPr>
          <w:p>
            <w:pPr>
              <w:jc w:val="center"/>
            </w:pPr>
            <w:r>
              <w:rPr>
                <w:rFonts w:ascii="Times New Roman" w:hAnsi="Times New Roman"/>
                <w:sz w:val="18"/>
              </w:rPr>
              <w:t>-</w:t>
            </w:r>
          </w:p>
        </w:tc>
        <w:tc>
          <w:tcPr>
            <w:tcW w:type="dxa" w:w="1296"/>
            <w:tcMar>
              <w:top w:w="50" w:type="dxa"/>
              <w:bottom w:w="50" w:type="dxa"/>
              <w:left w:w="60" w:type="dxa"/>
              <w:right w:w="60" w:type="dxa"/>
            </w:tcMar>
          </w:tcPr>
          <w:p>
            <w:pPr>
              <w:jc w:val="right"/>
            </w:pPr>
            <w:r>
              <w:rPr>
                <w:rFonts w:ascii="Times New Roman" w:hAnsi="Times New Roman"/>
                <w:sz w:val="18"/>
              </w:rPr>
              <w:t>1.071,00</w:t>
            </w:r>
          </w:p>
        </w:tc>
        <w:tc>
          <w:tcPr>
            <w:tcW w:type="dxa" w:w="1296"/>
            <w:tcMar>
              <w:top w:w="50" w:type="dxa"/>
              <w:bottom w:w="50" w:type="dxa"/>
              <w:left w:w="60" w:type="dxa"/>
              <w:right w:w="60" w:type="dxa"/>
            </w:tcMar>
          </w:tcPr>
          <w:p>
            <w:pPr>
              <w:jc w:val="right"/>
            </w:pPr>
            <w:r>
              <w:rPr>
                <w:rFonts w:ascii="Times New Roman" w:hAnsi="Times New Roman"/>
                <w:sz w:val="18"/>
              </w:rPr>
              <w:t>-880,70</w:t>
            </w:r>
          </w:p>
        </w:tc>
        <w:tc>
          <w:tcPr>
            <w:tcW w:type="dxa" w:w="1296"/>
            <w:tcMar>
              <w:top w:w="50" w:type="dxa"/>
              <w:bottom w:w="50" w:type="dxa"/>
              <w:left w:w="60" w:type="dxa"/>
              <w:right w:w="60" w:type="dxa"/>
            </w:tcMar>
          </w:tcPr>
          <w:p>
            <w:pPr>
              <w:jc w:val="left"/>
            </w:pPr>
            <w:r>
              <w:rPr>
                <w:rFonts w:ascii="Times New Roman" w:hAnsi="Times New Roman"/>
                <w:sz w:val="18"/>
              </w:rPr>
              <w:t>Khoản 2 Điều 6 Nghị định 155: Tối đa không quá 85% diện tích chức danh (1.260 × 85% = 1.071 m²)</w:t>
            </w:r>
          </w:p>
        </w:tc>
      </w:tr>
      <w:tr>
        <w:tc>
          <w:tcPr>
            <w:tcW w:type="dxa" w:w="1296"/>
            <w:tcMar>
              <w:top w:w="50" w:type="dxa"/>
              <w:bottom w:w="50" w:type="dxa"/>
              <w:left w:w="60" w:type="dxa"/>
              <w:right w:w="60" w:type="dxa"/>
            </w:tcMar>
          </w:tcPr>
          <w:p>
            <w:pPr>
              <w:jc w:val="center"/>
            </w:pPr>
            <w:r>
              <w:rPr>
                <w:rFonts w:ascii="Times New Roman" w:hAnsi="Times New Roman"/>
                <w:sz w:val="18"/>
              </w:rPr>
              <w:t>3</w:t>
            </w:r>
          </w:p>
        </w:tc>
        <w:tc>
          <w:tcPr>
            <w:tcW w:type="dxa" w:w="1296"/>
            <w:tcMar>
              <w:top w:w="50" w:type="dxa"/>
              <w:bottom w:w="50" w:type="dxa"/>
              <w:left w:w="60" w:type="dxa"/>
              <w:right w:w="60" w:type="dxa"/>
            </w:tcMar>
          </w:tcPr>
          <w:p>
            <w:pPr>
              <w:jc w:val="left"/>
            </w:pPr>
            <w:r>
              <w:rPr>
                <w:rFonts w:ascii="Times New Roman" w:hAnsi="Times New Roman"/>
                <w:sz w:val="18"/>
              </w:rPr>
              <w:t>Diện tích nhà để xe (Công trình ngoài nhà):</w:t>
            </w:r>
          </w:p>
        </w:tc>
        <w:tc>
          <w:tcPr>
            <w:tcW w:type="dxa" w:w="1296"/>
            <w:tcMar>
              <w:top w:w="50" w:type="dxa"/>
              <w:bottom w:w="50" w:type="dxa"/>
              <w:left w:w="60" w:type="dxa"/>
              <w:right w:w="60" w:type="dxa"/>
            </w:tcMar>
          </w:tcPr>
          <w:p>
            <w:pPr>
              <w:jc w:val="right"/>
            </w:pPr>
            <w:r>
              <w:rPr>
                <w:rFonts w:ascii="Times New Roman" w:hAnsi="Times New Roman"/>
                <w:sz w:val="18"/>
              </w:rPr>
              <w:t>200,00</w:t>
            </w:r>
          </w:p>
        </w:tc>
        <w:tc>
          <w:tcPr>
            <w:tcW w:type="dxa" w:w="1296"/>
            <w:tcMar>
              <w:top w:w="50" w:type="dxa"/>
              <w:bottom w:w="50" w:type="dxa"/>
              <w:left w:w="60" w:type="dxa"/>
              <w:right w:w="60" w:type="dxa"/>
            </w:tcMar>
          </w:tcPr>
          <w:p>
            <w:pPr>
              <w:jc w:val="center"/>
            </w:pPr>
            <w:r>
              <w:rPr>
                <w:rFonts w:ascii="Times New Roman" w:hAnsi="Times New Roman"/>
                <w:sz w:val="18"/>
              </w:rPr>
              <w:t>85 người + khách</w:t>
            </w:r>
          </w:p>
        </w:tc>
        <w:tc>
          <w:tcPr>
            <w:tcW w:type="dxa" w:w="1296"/>
            <w:tcMar>
              <w:top w:w="50" w:type="dxa"/>
              <w:bottom w:w="50" w:type="dxa"/>
              <w:left w:w="60" w:type="dxa"/>
              <w:right w:w="60" w:type="dxa"/>
            </w:tcMar>
          </w:tcPr>
          <w:p>
            <w:pPr>
              <w:jc w:val="right"/>
            </w:pPr>
            <w:r>
              <w:rPr>
                <w:rFonts w:ascii="Times New Roman" w:hAnsi="Times New Roman"/>
                <w:sz w:val="18"/>
              </w:rPr>
              <w:t>350,00</w:t>
            </w:r>
          </w:p>
        </w:tc>
        <w:tc>
          <w:tcPr>
            <w:tcW w:type="dxa" w:w="1296"/>
            <w:tcMar>
              <w:top w:w="50" w:type="dxa"/>
              <w:bottom w:w="50" w:type="dxa"/>
              <w:left w:w="60" w:type="dxa"/>
              <w:right w:w="60" w:type="dxa"/>
            </w:tcMar>
          </w:tcPr>
          <w:p>
            <w:pPr>
              <w:jc w:val="right"/>
            </w:pPr>
            <w:r>
              <w:rPr>
                <w:rFonts w:ascii="Times New Roman" w:hAnsi="Times New Roman"/>
                <w:sz w:val="18"/>
              </w:rPr>
              <w:t>-150,00</w:t>
            </w:r>
          </w:p>
        </w:tc>
        <w:tc>
          <w:tcPr>
            <w:tcW w:type="dxa" w:w="1296"/>
            <w:tcMar>
              <w:top w:w="50" w:type="dxa"/>
              <w:bottom w:w="50" w:type="dxa"/>
              <w:left w:w="60" w:type="dxa"/>
              <w:right w:w="60" w:type="dxa"/>
            </w:tcMar>
          </w:tcPr>
          <w:p>
            <w:pPr>
              <w:jc w:val="left"/>
            </w:pPr>
            <w:r>
              <w:rPr>
                <w:rFonts w:ascii="Times New Roman" w:hAnsi="Times New Roman"/>
                <w:sz w:val="18"/>
              </w:rPr>
              <w:t>Khoản 3 Điều 3 NĐ 155 và TCVN 4319:2012 (Mô tô 3 m²/xe; ô tô 25 m²/xe). Không tính vào diện tích sàn thông thủy.</w:t>
            </w:r>
          </w:p>
        </w:tc>
      </w:tr>
      <w:tr>
        <w:tc>
          <w:tcPr>
            <w:tcW w:type="dxa" w:w="1296"/>
            <w:tcMar>
              <w:top w:w="50" w:type="dxa"/>
              <w:bottom w:w="50" w:type="dxa"/>
              <w:left w:w="60" w:type="dxa"/>
              <w:right w:w="60" w:type="dxa"/>
            </w:tcMar>
          </w:tcPr>
          <w:p>
            <w:pPr>
              <w:jc w:val="center"/>
            </w:pPr>
            <w:r>
              <w:rPr>
                <w:rFonts w:ascii="Times New Roman" w:hAnsi="Times New Roman"/>
                <w:sz w:val="18"/>
              </w:rPr>
            </w:r>
          </w:p>
        </w:tc>
        <w:tc>
          <w:tcPr>
            <w:tcW w:type="dxa" w:w="1296"/>
            <w:tcMar>
              <w:top w:w="50" w:type="dxa"/>
              <w:bottom w:w="50" w:type="dxa"/>
              <w:left w:w="60" w:type="dxa"/>
              <w:right w:w="60" w:type="dxa"/>
            </w:tcMar>
          </w:tcPr>
          <w:p>
            <w:pPr>
              <w:jc w:val="left"/>
            </w:pPr>
            <w:r>
              <w:rPr>
                <w:rFonts w:ascii="Times New Roman" w:hAnsi="Times New Roman"/>
                <w:sz w:val="18"/>
              </w:rPr>
              <w:t>III. DIỆN TÍCH KHO LƯU TRỮ VÀ XỬ LÝ NGHIỆP VỤ HỒ SƠ ĐỊA CHÍNH</w:t>
            </w:r>
          </w:p>
        </w:tc>
        <w:tc>
          <w:tcPr>
            <w:tcW w:type="dxa" w:w="1296"/>
            <w:tcMar>
              <w:top w:w="50" w:type="dxa"/>
              <w:bottom w:w="50" w:type="dxa"/>
              <w:left w:w="60" w:type="dxa"/>
              <w:right w:w="60" w:type="dxa"/>
            </w:tcMar>
          </w:tcPr>
          <w:p>
            <w:pPr>
              <w:jc w:val="right"/>
            </w:pPr>
            <w:r>
              <w:rPr>
                <w:rFonts w:ascii="Times New Roman" w:hAnsi="Times New Roman"/>
                <w:sz w:val="18"/>
              </w:rPr>
              <w:t>300,00</w:t>
            </w:r>
          </w:p>
        </w:tc>
        <w:tc>
          <w:tcPr>
            <w:tcW w:type="dxa" w:w="1296"/>
            <w:tcMar>
              <w:top w:w="50" w:type="dxa"/>
              <w:bottom w:w="50" w:type="dxa"/>
              <w:left w:w="60" w:type="dxa"/>
              <w:right w:w="60" w:type="dxa"/>
            </w:tcMar>
          </w:tcPr>
          <w:p>
            <w:pPr>
              <w:jc w:val="center"/>
            </w:pPr>
            <w:r>
              <w:rPr>
                <w:rFonts w:ascii="Times New Roman" w:hAnsi="Times New Roman"/>
                <w:sz w:val="18"/>
              </w:rPr>
              <w:t>&gt;3.000m TL</w:t>
            </w:r>
          </w:p>
        </w:tc>
        <w:tc>
          <w:tcPr>
            <w:tcW w:type="dxa" w:w="1296"/>
            <w:tcMar>
              <w:top w:w="50" w:type="dxa"/>
              <w:bottom w:w="50" w:type="dxa"/>
              <w:left w:w="60" w:type="dxa"/>
              <w:right w:w="60" w:type="dxa"/>
            </w:tcMar>
          </w:tcPr>
          <w:p>
            <w:pPr>
              <w:jc w:val="right"/>
            </w:pPr>
            <w:r>
              <w:rPr>
                <w:rFonts w:ascii="Times New Roman" w:hAnsi="Times New Roman"/>
                <w:sz w:val="18"/>
              </w:rPr>
              <w:t>1.000,00</w:t>
            </w:r>
          </w:p>
        </w:tc>
        <w:tc>
          <w:tcPr>
            <w:tcW w:type="dxa" w:w="1296"/>
            <w:tcMar>
              <w:top w:w="50" w:type="dxa"/>
              <w:bottom w:w="50" w:type="dxa"/>
              <w:left w:w="60" w:type="dxa"/>
              <w:right w:w="60" w:type="dxa"/>
            </w:tcMar>
          </w:tcPr>
          <w:p>
            <w:pPr>
              <w:jc w:val="right"/>
            </w:pPr>
            <w:r>
              <w:rPr>
                <w:rFonts w:ascii="Times New Roman" w:hAnsi="Times New Roman"/>
                <w:sz w:val="18"/>
              </w:rPr>
              <w:t>-700,00</w:t>
            </w:r>
          </w:p>
        </w:tc>
        <w:tc>
          <w:tcPr>
            <w:tcW w:type="dxa" w:w="1296"/>
            <w:tcMar>
              <w:top w:w="50" w:type="dxa"/>
              <w:bottom w:w="50" w:type="dxa"/>
              <w:left w:w="60" w:type="dxa"/>
              <w:right w:w="60" w:type="dxa"/>
            </w:tcMar>
          </w:tcPr>
          <w:p>
            <w:pPr>
              <w:jc w:val="left"/>
            </w:pPr>
            <w:r>
              <w:rPr>
                <w:rFonts w:ascii="Times New Roman" w:hAnsi="Times New Roman"/>
                <w:sz w:val="18"/>
              </w:rPr>
              <w:t>Căn cứ Thông tư số 09/2007/TT-BNV hướng dẫn kho lưu trữ chuyên dùng</w:t>
            </w:r>
          </w:p>
        </w:tc>
      </w:tr>
      <w:tr>
        <w:tc>
          <w:tcPr>
            <w:tcW w:type="dxa" w:w="1296"/>
            <w:tcMar>
              <w:top w:w="50" w:type="dxa"/>
              <w:bottom w:w="50" w:type="dxa"/>
              <w:left w:w="60" w:type="dxa"/>
              <w:right w:w="60" w:type="dxa"/>
            </w:tcMar>
          </w:tcPr>
          <w:p>
            <w:pPr>
              <w:jc w:val="center"/>
            </w:pPr>
            <w:r>
              <w:rPr>
                <w:rFonts w:ascii="Times New Roman" w:hAnsi="Times New Roman"/>
                <w:sz w:val="18"/>
              </w:rPr>
              <w:t>1</w:t>
            </w:r>
          </w:p>
        </w:tc>
        <w:tc>
          <w:tcPr>
            <w:tcW w:type="dxa" w:w="1296"/>
            <w:tcMar>
              <w:top w:w="50" w:type="dxa"/>
              <w:bottom w:w="50" w:type="dxa"/>
              <w:left w:w="60" w:type="dxa"/>
              <w:right w:w="60" w:type="dxa"/>
            </w:tcMar>
          </w:tcPr>
          <w:p>
            <w:pPr>
              <w:jc w:val="left"/>
            </w:pPr>
            <w:r>
              <w:rPr>
                <w:rFonts w:ascii="Times New Roman" w:hAnsi="Times New Roman"/>
                <w:sz w:val="18"/>
              </w:rPr>
              <w:t>Diện tích sàn kho bảo quản hồ sơ địa chính gốc:</w:t>
              <w:br/>
              <w:t>- Hiện trạng kho tại 358 Huỳnh Văn Cù: 300 m² (lấp kín 100%)</w:t>
              <w:br/>
              <w:t>- Nhu cầu kho bảo quản hồ sơ biến động tích lũy và phát sinh</w:t>
            </w:r>
          </w:p>
        </w:tc>
        <w:tc>
          <w:tcPr>
            <w:tcW w:type="dxa" w:w="1296"/>
            <w:tcMar>
              <w:top w:w="50" w:type="dxa"/>
              <w:bottom w:w="50" w:type="dxa"/>
              <w:left w:w="60" w:type="dxa"/>
              <w:right w:w="60" w:type="dxa"/>
            </w:tcMar>
          </w:tcPr>
          <w:p>
            <w:pPr>
              <w:jc w:val="right"/>
            </w:pPr>
            <w:r>
              <w:rPr>
                <w:rFonts w:ascii="Times New Roman" w:hAnsi="Times New Roman"/>
                <w:sz w:val="18"/>
              </w:rPr>
              <w:t>300,00</w:t>
            </w:r>
          </w:p>
        </w:tc>
        <w:tc>
          <w:tcPr>
            <w:tcW w:type="dxa" w:w="1296"/>
            <w:tcMar>
              <w:top w:w="50" w:type="dxa"/>
              <w:bottom w:w="50" w:type="dxa"/>
              <w:left w:w="60" w:type="dxa"/>
              <w:right w:w="60" w:type="dxa"/>
            </w:tcMar>
          </w:tcPr>
          <w:p>
            <w:pPr>
              <w:jc w:val="center"/>
            </w:pPr>
            <w:r>
              <w:rPr>
                <w:rFonts w:ascii="Times New Roman" w:hAnsi="Times New Roman"/>
                <w:sz w:val="18"/>
              </w:rPr>
              <w:t>&gt;3.000m giá tài liệu</w:t>
            </w:r>
          </w:p>
        </w:tc>
        <w:tc>
          <w:tcPr>
            <w:tcW w:type="dxa" w:w="1296"/>
            <w:tcMar>
              <w:top w:w="50" w:type="dxa"/>
              <w:bottom w:w="50" w:type="dxa"/>
              <w:left w:w="60" w:type="dxa"/>
              <w:right w:w="60" w:type="dxa"/>
            </w:tcMar>
          </w:tcPr>
          <w:p>
            <w:pPr>
              <w:jc w:val="right"/>
            </w:pPr>
            <w:r>
              <w:rPr>
                <w:rFonts w:ascii="Times New Roman" w:hAnsi="Times New Roman"/>
                <w:sz w:val="18"/>
              </w:rPr>
              <w:t>600,00</w:t>
            </w:r>
          </w:p>
        </w:tc>
        <w:tc>
          <w:tcPr>
            <w:tcW w:type="dxa" w:w="1296"/>
            <w:tcMar>
              <w:top w:w="50" w:type="dxa"/>
              <w:bottom w:w="50" w:type="dxa"/>
              <w:left w:w="60" w:type="dxa"/>
              <w:right w:w="60" w:type="dxa"/>
            </w:tcMar>
          </w:tcPr>
          <w:p>
            <w:pPr>
              <w:jc w:val="right"/>
            </w:pPr>
            <w:r>
              <w:rPr>
                <w:rFonts w:ascii="Times New Roman" w:hAnsi="Times New Roman"/>
                <w:sz w:val="18"/>
              </w:rPr>
              <w:t>-300,00</w:t>
            </w:r>
          </w:p>
        </w:tc>
        <w:tc>
          <w:tcPr>
            <w:tcW w:type="dxa" w:w="1296"/>
            <w:tcMar>
              <w:top w:w="50" w:type="dxa"/>
              <w:bottom w:w="50" w:type="dxa"/>
              <w:left w:w="60" w:type="dxa"/>
              <w:right w:w="60" w:type="dxa"/>
            </w:tcMar>
          </w:tcPr>
          <w:p>
            <w:pPr>
              <w:jc w:val="left"/>
            </w:pPr>
            <w:r>
              <w:rPr>
                <w:rFonts w:ascii="Times New Roman" w:hAnsi="Times New Roman"/>
                <w:sz w:val="18"/>
              </w:rPr>
              <w:t>Thông tư 09/2007/TT-BNV: Kho lưu trữ loại 3 và loại 4 diện tích 500 - 936 m².</w:t>
            </w:r>
          </w:p>
        </w:tc>
      </w:tr>
      <w:tr>
        <w:tc>
          <w:tcPr>
            <w:tcW w:type="dxa" w:w="1296"/>
            <w:tcMar>
              <w:top w:w="50" w:type="dxa"/>
              <w:bottom w:w="50" w:type="dxa"/>
              <w:left w:w="60" w:type="dxa"/>
              <w:right w:w="60" w:type="dxa"/>
            </w:tcMar>
          </w:tcPr>
          <w:p>
            <w:pPr>
              <w:jc w:val="center"/>
            </w:pPr>
            <w:r>
              <w:rPr>
                <w:rFonts w:ascii="Times New Roman" w:hAnsi="Times New Roman"/>
                <w:sz w:val="18"/>
              </w:rPr>
              <w:t>2</w:t>
            </w:r>
          </w:p>
        </w:tc>
        <w:tc>
          <w:tcPr>
            <w:tcW w:type="dxa" w:w="1296"/>
            <w:tcMar>
              <w:top w:w="50" w:type="dxa"/>
              <w:bottom w:w="50" w:type="dxa"/>
              <w:left w:w="60" w:type="dxa"/>
              <w:right w:w="60" w:type="dxa"/>
            </w:tcMar>
          </w:tcPr>
          <w:p>
            <w:pPr>
              <w:jc w:val="left"/>
            </w:pPr>
            <w:r>
              <w:rPr>
                <w:rFonts w:ascii="Times New Roman" w:hAnsi="Times New Roman"/>
                <w:sz w:val="18"/>
              </w:rPr>
              <w:t>Khu vực xử lý nghiệp vụ lưu trữ:</w:t>
              <w:br/>
              <w:t>(Tiếp nhận, phân loại, bóc tách, chỉnh lý, khử trùng, số hóa hồ sơ)</w:t>
            </w:r>
          </w:p>
        </w:tc>
        <w:tc>
          <w:tcPr>
            <w:tcW w:type="dxa" w:w="1296"/>
            <w:tcMar>
              <w:top w:w="50" w:type="dxa"/>
              <w:bottom w:w="50" w:type="dxa"/>
              <w:left w:w="60" w:type="dxa"/>
              <w:right w:w="60" w:type="dxa"/>
            </w:tcMar>
          </w:tcPr>
          <w:p>
            <w:pPr>
              <w:jc w:val="right"/>
            </w:pPr>
            <w:r>
              <w:rPr>
                <w:rFonts w:ascii="Times New Roman" w:hAnsi="Times New Roman"/>
                <w:sz w:val="18"/>
              </w:rPr>
              <w:t>0,00</w:t>
            </w:r>
          </w:p>
        </w:tc>
        <w:tc>
          <w:tcPr>
            <w:tcW w:type="dxa" w:w="1296"/>
            <w:tcMar>
              <w:top w:w="50" w:type="dxa"/>
              <w:bottom w:w="50" w:type="dxa"/>
              <w:left w:w="60" w:type="dxa"/>
              <w:right w:w="60" w:type="dxa"/>
            </w:tcMar>
          </w:tcPr>
          <w:p>
            <w:pPr>
              <w:jc w:val="center"/>
            </w:pPr>
            <w:r>
              <w:rPr>
                <w:rFonts w:ascii="Times New Roman" w:hAnsi="Times New Roman"/>
                <w:sz w:val="18"/>
              </w:rPr>
              <w:t>-</w:t>
            </w:r>
          </w:p>
        </w:tc>
        <w:tc>
          <w:tcPr>
            <w:tcW w:type="dxa" w:w="1296"/>
            <w:tcMar>
              <w:top w:w="50" w:type="dxa"/>
              <w:bottom w:w="50" w:type="dxa"/>
              <w:left w:w="60" w:type="dxa"/>
              <w:right w:w="60" w:type="dxa"/>
            </w:tcMar>
          </w:tcPr>
          <w:p>
            <w:pPr>
              <w:jc w:val="right"/>
            </w:pPr>
            <w:r>
              <w:rPr>
                <w:rFonts w:ascii="Times New Roman" w:hAnsi="Times New Roman"/>
                <w:sz w:val="18"/>
              </w:rPr>
              <w:t>300,00</w:t>
            </w:r>
          </w:p>
        </w:tc>
        <w:tc>
          <w:tcPr>
            <w:tcW w:type="dxa" w:w="1296"/>
            <w:tcMar>
              <w:top w:w="50" w:type="dxa"/>
              <w:bottom w:w="50" w:type="dxa"/>
              <w:left w:w="60" w:type="dxa"/>
              <w:right w:w="60" w:type="dxa"/>
            </w:tcMar>
          </w:tcPr>
          <w:p>
            <w:pPr>
              <w:jc w:val="right"/>
            </w:pPr>
            <w:r>
              <w:rPr>
                <w:rFonts w:ascii="Times New Roman" w:hAnsi="Times New Roman"/>
                <w:sz w:val="18"/>
              </w:rPr>
              <w:t>-300,00</w:t>
            </w:r>
          </w:p>
        </w:tc>
        <w:tc>
          <w:tcPr>
            <w:tcW w:type="dxa" w:w="1296"/>
            <w:tcMar>
              <w:top w:w="50" w:type="dxa"/>
              <w:bottom w:w="50" w:type="dxa"/>
              <w:left w:w="60" w:type="dxa"/>
              <w:right w:w="60" w:type="dxa"/>
            </w:tcMar>
          </w:tcPr>
          <w:p>
            <w:pPr>
              <w:jc w:val="left"/>
            </w:pPr>
            <w:r>
              <w:rPr>
                <w:rFonts w:ascii="Times New Roman" w:hAnsi="Times New Roman"/>
                <w:sz w:val="18"/>
              </w:rPr>
              <w:t>Thông tư 09/2007/TT-BNV: Bố trí bằng 50% diện tích sàn kho bảo quản tài liệu.</w:t>
            </w:r>
          </w:p>
        </w:tc>
      </w:tr>
      <w:tr>
        <w:tc>
          <w:tcPr>
            <w:tcW w:type="dxa" w:w="1296"/>
            <w:tcMar>
              <w:top w:w="50" w:type="dxa"/>
              <w:bottom w:w="50" w:type="dxa"/>
              <w:left w:w="60" w:type="dxa"/>
              <w:right w:w="60" w:type="dxa"/>
            </w:tcMar>
          </w:tcPr>
          <w:p>
            <w:pPr>
              <w:jc w:val="center"/>
            </w:pPr>
            <w:r>
              <w:rPr>
                <w:rFonts w:ascii="Times New Roman" w:hAnsi="Times New Roman"/>
                <w:sz w:val="18"/>
              </w:rPr>
              <w:t>3</w:t>
            </w:r>
          </w:p>
        </w:tc>
        <w:tc>
          <w:tcPr>
            <w:tcW w:type="dxa" w:w="1296"/>
            <w:tcMar>
              <w:top w:w="50" w:type="dxa"/>
              <w:bottom w:w="50" w:type="dxa"/>
              <w:left w:w="60" w:type="dxa"/>
              <w:right w:w="60" w:type="dxa"/>
            </w:tcMar>
          </w:tcPr>
          <w:p>
            <w:pPr>
              <w:jc w:val="left"/>
            </w:pPr>
            <w:r>
              <w:rPr>
                <w:rFonts w:ascii="Times New Roman" w:hAnsi="Times New Roman"/>
                <w:sz w:val="18"/>
              </w:rPr>
              <w:t>Cơ sở đề xuất giải quyết kho lưu trữ:</w:t>
              <w:br/>
              <w:t>Tiếp nhận điều chuyển Điểm trạm y tế 3 dôi dư liền kề (1.276,20 m² đất)</w:t>
            </w:r>
          </w:p>
        </w:tc>
        <w:tc>
          <w:tcPr>
            <w:tcW w:type="dxa" w:w="1296"/>
            <w:tcMar>
              <w:top w:w="50" w:type="dxa"/>
              <w:bottom w:w="50" w:type="dxa"/>
              <w:left w:w="60" w:type="dxa"/>
              <w:right w:w="60" w:type="dxa"/>
            </w:tcMar>
          </w:tcPr>
          <w:p>
            <w:pPr>
              <w:jc w:val="right"/>
            </w:pPr>
            <w:r>
              <w:rPr>
                <w:rFonts w:ascii="Times New Roman" w:hAnsi="Times New Roman"/>
                <w:sz w:val="18"/>
              </w:rPr>
              <w:t>1.276,20 (đất)</w:t>
            </w:r>
          </w:p>
        </w:tc>
        <w:tc>
          <w:tcPr>
            <w:tcW w:type="dxa" w:w="1296"/>
            <w:tcMar>
              <w:top w:w="50" w:type="dxa"/>
              <w:bottom w:w="50" w:type="dxa"/>
              <w:left w:w="60" w:type="dxa"/>
              <w:right w:w="60" w:type="dxa"/>
            </w:tcMar>
          </w:tcPr>
          <w:p>
            <w:pPr>
              <w:jc w:val="center"/>
            </w:pPr>
            <w:r>
              <w:rPr>
                <w:rFonts w:ascii="Times New Roman" w:hAnsi="Times New Roman"/>
                <w:sz w:val="18"/>
              </w:rPr>
              <w:t>-</w:t>
            </w:r>
          </w:p>
        </w:tc>
        <w:tc>
          <w:tcPr>
            <w:tcW w:type="dxa" w:w="1296"/>
            <w:tcMar>
              <w:top w:w="50" w:type="dxa"/>
              <w:bottom w:w="50" w:type="dxa"/>
              <w:left w:w="60" w:type="dxa"/>
              <w:right w:w="60" w:type="dxa"/>
            </w:tcMar>
          </w:tcPr>
          <w:p>
            <w:pPr>
              <w:jc w:val="right"/>
            </w:pPr>
            <w:r>
              <w:rPr>
                <w:rFonts w:ascii="Times New Roman" w:hAnsi="Times New Roman"/>
                <w:sz w:val="18"/>
              </w:rPr>
              <w:t>1.276,20</w:t>
            </w:r>
          </w:p>
        </w:tc>
        <w:tc>
          <w:tcPr>
            <w:tcW w:type="dxa" w:w="1296"/>
            <w:tcMar>
              <w:top w:w="50" w:type="dxa"/>
              <w:bottom w:w="50" w:type="dxa"/>
              <w:left w:w="60" w:type="dxa"/>
              <w:right w:w="60" w:type="dxa"/>
            </w:tcMar>
          </w:tcPr>
          <w:p>
            <w:pPr>
              <w:jc w:val="right"/>
            </w:pPr>
            <w:r>
              <w:rPr>
                <w:rFonts w:ascii="Times New Roman" w:hAnsi="Times New Roman"/>
                <w:sz w:val="18"/>
              </w:rPr>
              <w:t>Đạt</w:t>
            </w:r>
          </w:p>
        </w:tc>
        <w:tc>
          <w:tcPr>
            <w:tcW w:type="dxa" w:w="1296"/>
            <w:tcMar>
              <w:top w:w="50" w:type="dxa"/>
              <w:bottom w:w="50" w:type="dxa"/>
              <w:left w:w="60" w:type="dxa"/>
              <w:right w:w="60" w:type="dxa"/>
            </w:tcMar>
          </w:tcPr>
          <w:p>
            <w:pPr>
              <w:jc w:val="left"/>
            </w:pPr>
            <w:r>
              <w:rPr>
                <w:rFonts w:ascii="Times New Roman" w:hAnsi="Times New Roman"/>
                <w:sz w:val="18"/>
              </w:rPr>
              <w:t>Tối ưu hóa tài sản công dôi dư, tránh lãng phí theo NĐ 186/2025/NĐ-CP và CV 223/BTC-QLCS.</w:t>
            </w:r>
          </w:p>
        </w:tc>
      </w:tr>
      <w:tr>
        <w:tc>
          <w:tcPr>
            <w:tcW w:type="dxa" w:w="1296"/>
            <w:tcMar>
              <w:top w:w="50" w:type="dxa"/>
              <w:bottom w:w="50" w:type="dxa"/>
              <w:left w:w="60" w:type="dxa"/>
              <w:right w:w="60" w:type="dxa"/>
            </w:tcMar>
            <w:shd w:fill="EFF6FF"/>
          </w:tcPr>
          <w:p>
            <w:pPr>
              <w:jc w:val="center"/>
            </w:pPr>
            <w:r>
              <w:rPr>
                <w:rFonts w:ascii="Times New Roman" w:hAnsi="Times New Roman"/>
                <w:b/>
                <w:sz w:val="18"/>
              </w:rPr>
            </w:r>
          </w:p>
        </w:tc>
        <w:tc>
          <w:tcPr>
            <w:tcW w:type="dxa" w:w="1296"/>
            <w:tcMar>
              <w:top w:w="50" w:type="dxa"/>
              <w:bottom w:w="50" w:type="dxa"/>
              <w:left w:w="60" w:type="dxa"/>
              <w:right w:w="60" w:type="dxa"/>
            </w:tcMar>
            <w:shd w:fill="EFF6FF"/>
          </w:tcPr>
          <w:p>
            <w:pPr>
              <w:jc w:val="left"/>
            </w:pPr>
            <w:r>
              <w:rPr>
                <w:rFonts w:ascii="Times New Roman" w:hAnsi="Times New Roman"/>
                <w:b/>
                <w:sz w:val="18"/>
              </w:rPr>
              <w:t>TỔNG CỘNG ĐỐI CHIẾU TOÀN TRỤ SỞ</w:t>
            </w:r>
          </w:p>
        </w:tc>
        <w:tc>
          <w:tcPr>
            <w:tcW w:type="dxa" w:w="1296"/>
            <w:tcMar>
              <w:top w:w="50" w:type="dxa"/>
              <w:bottom w:w="50" w:type="dxa"/>
              <w:left w:w="60" w:type="dxa"/>
              <w:right w:w="60" w:type="dxa"/>
            </w:tcMar>
            <w:shd w:fill="EFF6FF"/>
          </w:tcPr>
          <w:p>
            <w:pPr>
              <w:jc w:val="right"/>
            </w:pPr>
            <w:r>
              <w:rPr>
                <w:rFonts w:ascii="Times New Roman" w:hAnsi="Times New Roman"/>
                <w:b/>
                <w:sz w:val="18"/>
              </w:rPr>
              <w:t>835,30</w:t>
            </w:r>
          </w:p>
        </w:tc>
        <w:tc>
          <w:tcPr>
            <w:tcW w:type="dxa" w:w="1296"/>
            <w:tcMar>
              <w:top w:w="50" w:type="dxa"/>
              <w:bottom w:w="50" w:type="dxa"/>
              <w:left w:w="60" w:type="dxa"/>
              <w:right w:w="60" w:type="dxa"/>
            </w:tcMar>
            <w:shd w:fill="EFF6FF"/>
          </w:tcPr>
          <w:p>
            <w:pPr>
              <w:jc w:val="center"/>
            </w:pPr>
            <w:r>
              <w:rPr>
                <w:rFonts w:ascii="Times New Roman" w:hAnsi="Times New Roman"/>
                <w:b/>
                <w:sz w:val="18"/>
              </w:rPr>
              <w:t>85 người</w:t>
            </w:r>
          </w:p>
        </w:tc>
        <w:tc>
          <w:tcPr>
            <w:tcW w:type="dxa" w:w="1296"/>
            <w:tcMar>
              <w:top w:w="50" w:type="dxa"/>
              <w:bottom w:w="50" w:type="dxa"/>
              <w:left w:w="60" w:type="dxa"/>
              <w:right w:w="60" w:type="dxa"/>
            </w:tcMar>
            <w:shd w:fill="EFF6FF"/>
          </w:tcPr>
          <w:p>
            <w:pPr>
              <w:jc w:val="right"/>
            </w:pPr>
            <w:r>
              <w:rPr>
                <w:rFonts w:ascii="Times New Roman" w:hAnsi="Times New Roman"/>
                <w:b/>
                <w:sz w:val="18"/>
              </w:rPr>
              <w:t>2.331,00</w:t>
            </w:r>
          </w:p>
        </w:tc>
        <w:tc>
          <w:tcPr>
            <w:tcW w:type="dxa" w:w="1296"/>
            <w:tcMar>
              <w:top w:w="50" w:type="dxa"/>
              <w:bottom w:w="50" w:type="dxa"/>
              <w:left w:w="60" w:type="dxa"/>
              <w:right w:w="60" w:type="dxa"/>
            </w:tcMar>
            <w:shd w:fill="EFF6FF"/>
          </w:tcPr>
          <w:p>
            <w:pPr>
              <w:jc w:val="right"/>
            </w:pPr>
            <w:r>
              <w:rPr>
                <w:rFonts w:ascii="Times New Roman" w:hAnsi="Times New Roman"/>
                <w:b/>
                <w:sz w:val="18"/>
              </w:rPr>
              <w:t>-1.495,70</w:t>
            </w:r>
          </w:p>
        </w:tc>
        <w:tc>
          <w:tcPr>
            <w:tcW w:type="dxa" w:w="1296"/>
            <w:tcMar>
              <w:top w:w="50" w:type="dxa"/>
              <w:bottom w:w="50" w:type="dxa"/>
              <w:left w:w="60" w:type="dxa"/>
              <w:right w:w="60" w:type="dxa"/>
            </w:tcMar>
            <w:shd w:fill="EFF6FF"/>
          </w:tcPr>
          <w:p>
            <w:pPr>
              <w:jc w:val="left"/>
            </w:pPr>
            <w:r>
              <w:rPr>
                <w:rFonts w:ascii="Times New Roman" w:hAnsi="Times New Roman"/>
                <w:b/>
                <w:sz w:val="18"/>
              </w:rPr>
              <w:t>Hiện trạng mới chỉ đáp ứng 35,83% nhu cầu định mức. Căn cứ bắt buộc phải bổ sung kho Điểm trạm y tế 3.</w:t>
            </w:r>
          </w:p>
        </w:tc>
      </w:tr>
    </w:tbl>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