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4608"/>
          </w:tcPr>
          <w:p>
            <w:pPr>
              <w:spacing w:after="20"/>
              <w:jc w:val="center"/>
            </w:pPr>
            <w:r>
              <w:rPr>
                <w:rFonts w:ascii="Times New Roman" w:hAnsi="Times New Roman"/>
                <w:b/>
                <w:sz w:val="24"/>
              </w:rPr>
              <w:t>ỦY BAN NHÂN DÂN</w:t>
              <w:br/>
              <w:t>PHƯỜNG THỦ DẦU MỘT</w:t>
            </w:r>
          </w:p>
          <w:p>
            <w:pPr>
              <w:spacing w:after="0"/>
              <w:jc w:val="center"/>
            </w:pPr>
            <w:r>
              <w:rPr>
                <w:rFonts w:ascii="Times New Roman" w:hAnsi="Times New Roman"/>
                <w:sz w:val="24"/>
              </w:rPr>
              <w:t>Số: 2154/UBND-VP</w:t>
            </w:r>
          </w:p>
        </w:tc>
        <w:tc>
          <w:tcPr>
            <w:tcW w:type="dxa" w:w="4464"/>
          </w:tcPr>
          <w:p>
            <w:pPr>
              <w:spacing w:after="20"/>
              <w:jc w:val="center"/>
            </w:pPr>
            <w:r>
              <w:rPr>
                <w:rFonts w:ascii="Times New Roman" w:hAnsi="Times New Roman"/>
                <w:b/>
                <w:sz w:val="22"/>
              </w:rPr>
              <w:t>CỘNG HÒA XÃ HỘI CHỦ NGHĨA VIỆT NAM</w:t>
            </w:r>
          </w:p>
          <w:p>
            <w:pPr>
              <w:spacing w:after="40"/>
              <w:jc w:val="center"/>
            </w:pPr>
            <w:r>
              <w:rPr>
                <w:rFonts w:ascii="Times New Roman" w:hAnsi="Times New Roman"/>
                <w:b/>
                <w:sz w:val="24"/>
              </w:rPr>
              <w:t>Độc lập - Tự do - Hạnh phúc</w:t>
            </w:r>
          </w:p>
          <w:p>
            <w:pPr>
              <w:spacing w:after="0"/>
              <w:jc w:val="center"/>
            </w:pPr>
            <w:r>
              <w:rPr>
                <w:rFonts w:ascii="Times New Roman" w:hAnsi="Times New Roman"/>
                <w:i/>
                <w:sz w:val="24"/>
              </w:rPr>
              <w:t>Thủ Dầu Một, ngày 26 tháng 05 năm 2026</w:t>
            </w:r>
          </w:p>
        </w:tc>
      </w:tr>
    </w:tbl>
    <w:p/>
    <w:tbl>
      <w:tblPr>
        <w:tblW w:type="auto" w:w="0"/>
        <w:jc w:val="center"/>
        <w:tblLayout w:type="fixed"/>
        <w:tblLook w:firstColumn="1" w:firstRow="1" w:lastColumn="0" w:lastRow="0" w:noHBand="0" w:noVBand="1" w:val="04A0"/>
      </w:tblPr>
      <w:tblGrid>
        <w:gridCol w:w="4536"/>
        <w:gridCol w:w="4536"/>
      </w:tblGrid>
      <w:tr>
        <w:tc>
          <w:tcPr>
            <w:tcW w:type="dxa" w:w="4608"/>
          </w:tcPr>
          <w:p>
            <w:pPr>
              <w:spacing w:after="0" w:line="276" w:lineRule="auto"/>
            </w:pPr>
            <w:r>
              <w:rPr>
                <w:rFonts w:ascii="Times New Roman" w:hAnsi="Times New Roman"/>
                <w:i/>
                <w:sz w:val="24"/>
              </w:rPr>
              <w:t>V/v đề nghị cho ý kiến về nhu cầu sử dụng cơ sở nhà, đất Điểm trạm y tế 3 (Trạm Y tế phường Chánh Mỹ cũ) tại đường Huỳnh Văn Cù, phường Thủ Dầu Một</w:t>
            </w:r>
          </w:p>
        </w:tc>
        <w:tc>
          <w:tcPr>
            <w:tcW w:type="dxa" w:w="4464"/>
          </w:tcPr>
          <w:p>
            <w:pPr>
              <w:spacing w:after="0" w:before="160"/>
            </w:pPr>
            <w:r>
              <w:rPr>
                <w:rFonts w:ascii="Times New Roman" w:hAnsi="Times New Roman"/>
                <w:b/>
                <w:sz w:val="25"/>
              </w:rPr>
              <w:t xml:space="preserve">Kính gửi: </w:t>
            </w:r>
            <w:r>
              <w:rPr>
                <w:rFonts w:ascii="Times New Roman" w:hAnsi="Times New Roman"/>
                <w:b/>
                <w:sz w:val="25"/>
              </w:rPr>
              <w:t>Chi nhánh Văn phòng Đăng ký</w:t>
              <w:br/>
              <w:t>đất đai số 23.</w:t>
            </w:r>
          </w:p>
        </w:tc>
      </w:tr>
    </w:tbl>
    <w:p/>
    <w:p>
      <w:pPr>
        <w:spacing w:after="120" w:line="288" w:lineRule="auto"/>
        <w:ind w:firstLine="706"/>
        <w:jc w:val="both"/>
      </w:pPr>
      <w:r>
        <w:rPr>
          <w:rFonts w:ascii="Times New Roman" w:hAnsi="Times New Roman"/>
          <w:sz w:val="26"/>
        </w:rPr>
        <w:t>Ngày 31/12/2025, Ủy ban nhân dân Thành phố Hồ Chí Minh đã ban hành Quyết định số 4477/QĐ-UBND và các văn bản liên quan về việc giao quản lý tài sản công cho Ủy ban nhân dân phường Thủ Dầu Một khi thực hiện sắp xếp tổ chức bộ máy và đơn vị hành chính theo mô hình tổ chức chính quyền địa phương 02 cấp. Trong đó, Ủy ban nhân dân phường Thủ Dầu Một tiếp nhận quản lý các cơ sở nhà, đất dôi dư thuộc ngành y tế trên địa bàn, bao gồm cơ sở nhà, đất Điểm trạm y tế 3 (Trạm Y tế phường Chánh Mỹ cũ) tọa lạc trên đường Huỳnh Văn Cù, khu phố Chánh Lộc 7, phường Thủ Dầu Một với diện tích đất 1.276,2 m² hiện đang bỏ trống, không có nhu cầu sử dụng. Cơ sở này nằm liền kề với trụ sở cơ quan tại số 358 Huỳnh Văn Cù – nơi Chi nhánh Văn phòng Đăng ký đất đai số 23 trực thuộc Văn phòng Đăng ký đất đai Thành phố Hồ Chí Minh đang sử dụng làm trụ sở làm việc hành chính và tiếp nhận hồ sơ giải quyết thủ tục hành chính đất đai cho người dân, tổ chức.</w:t>
      </w:r>
    </w:p>
    <w:p>
      <w:pPr>
        <w:spacing w:after="120" w:line="288" w:lineRule="auto"/>
        <w:ind w:firstLine="706"/>
        <w:jc w:val="both"/>
      </w:pPr>
      <w:r>
        <w:rPr>
          <w:rFonts w:ascii="Times New Roman" w:hAnsi="Times New Roman"/>
          <w:sz w:val="26"/>
        </w:rPr>
        <w:t>Căn cứ “Điều 21. Trình tự, thủ tục điều chuyển tài sản công” Nghị định số 186/2025/NĐ-CP ngày 01/7/2025 của Chính phủ quy định chi tiết một số điều của Luật Quản lý, sử dụng tài sản công, Ủy ban nhân dân phường Thủ Dầu Một đã nhận được Tờ trình số 195/TTr-TYT ngày 04/3/2026 của Trạm Y tế phường về việc xin điều chuyển 06 cơ sở làm việc dôi dư; Tờ trình số 427/TTr-TYT ngày 17/4/2026 kiến nghị thuận chủ trương cho Chi nhánh Văn phòng Đăng ký đất đai số 23 mượn tạm cơ sở Điểm trạm y tế 3 làm kho lưu trữ hồ sơ địa chính trong thời gian chờ thực hiện thủ tục điều chuyển; và Công văn số 602/CN23-HCTH ngày 14/4/2026 của Chi nhánh Văn phòng Đăng ký đất đai số 23.</w:t>
      </w:r>
    </w:p>
    <w:p>
      <w:pPr>
        <w:spacing w:after="120" w:line="288" w:lineRule="auto"/>
        <w:ind w:firstLine="706"/>
        <w:jc w:val="both"/>
      </w:pPr>
      <w:r>
        <w:rPr>
          <w:rFonts w:ascii="Times New Roman" w:hAnsi="Times New Roman"/>
          <w:sz w:val="26"/>
        </w:rPr>
        <w:t>Ngày 08/5/2026, Ủy ban nhân dân phường Thủ Dầu Một đã có văn bản số 1136/UBND-VP về việc ý kiến đề nghị mượn trụ sở để làm kho lưu trữ hồ sơ địa chính của Chi nhánh số 23, trong đó hướng dẫn Chi nhánh báo cáo cơ quan quản lý cấp trên để hoàn thiện thủ tục điều chuyển tài sản công theo thẩm quyền quy định tại Quyết định số 02/2026/QĐ-CTUBND ngày 16/01/2026 của Chủ tịch UBND Thành phố.</w:t>
      </w:r>
    </w:p>
    <w:p>
      <w:pPr>
        <w:spacing w:after="120" w:line="288" w:lineRule="auto"/>
        <w:ind w:firstLine="706"/>
        <w:jc w:val="both"/>
      </w:pPr>
      <w:r>
        <w:rPr>
          <w:rFonts w:ascii="Times New Roman" w:hAnsi="Times New Roman"/>
          <w:sz w:val="26"/>
        </w:rPr>
        <w:t>Tuy nhiên, đối chiếu với các quy định pháp luật và hướng dẫn của Sở Tài chính Thành phố Hồ Chí Minh tại văn bản triển khai về việc xử lý, điều chuyển tài sản công là trụ sở làm việc, cơ sở hoạt động sự nghiệp do Ủy ban nhân dân cấp phường được giao quản lý theo Nghị định số 186/2025/NĐ-CP ngày 01/7/2025 của Chính phủ:</w:t>
      </w:r>
    </w:p>
    <w:p>
      <w:pPr>
        <w:spacing w:after="120" w:line="288" w:lineRule="auto"/>
        <w:ind w:firstLine="706"/>
        <w:jc w:val="both"/>
      </w:pPr>
      <w:r>
        <w:rPr>
          <w:rFonts w:ascii="Times New Roman" w:hAnsi="Times New Roman"/>
          <w:sz w:val="26"/>
        </w:rPr>
        <w:t>“Đối với cơ sở nhà, đất dôi dư đề nghị điều chuyển sang cơ quan, đơn vị khác quản lý, sử dụng: Đơn vị tiếp nhận tài sản phải có văn bản chính thức của cơ quan quản lý cấp trên (Sở Nông nghiệp và Môi trường) có ý kiến về nhu cầu tiếp nhận tài sản theo đúng quy định tại điểm c khoản 1 Điều 21 Nghị định số 186/2025/NĐ-CP của Chính phủ.”</w:t>
      </w:r>
    </w:p>
    <w:p>
      <w:pPr>
        <w:spacing w:after="120" w:line="288" w:lineRule="auto"/>
        <w:ind w:firstLine="706"/>
        <w:jc w:val="both"/>
      </w:pPr>
      <w:r>
        <w:rPr>
          <w:rFonts w:ascii="Times New Roman" w:hAnsi="Times New Roman"/>
          <w:sz w:val="26"/>
        </w:rPr>
        <w:t>Do đó, để đảm bảo đầy đủ thành phần hồ sơ trình Sở Tài chính tham mưu Ủy ban nhân dân Thành phố Hồ Chí Minh ban hành Quyết định điều chuyển tài sản công theo đúng trình tự, thẩm quyền luật định, trên cơ sở đề xuất của Phòng Kinh tế, Hạ tầng và Đô thị tại Công văn số 413/KTHT&amp;ĐT-NS ngày 05/5/2026, Ủy ban nhân dân phường Thủ Dầu Một đề nghị Chi nhánh Văn phòng Đăng ký đất đai số 23 căn cứ tiêu chuẩn, định mức sử dụng trụ sở làm việc, cơ sở hoạt động sự nghiệp quy định tại Nghị định số 155/2025/NĐ-CP ngày 16/6/2025 của Chính phủ, tình hình thực tế về biên chế nhân sự và nhu cầu cấp thiết về kho lưu trữ hồ sơ địa chính của đơn vị, khẩn trương báo cáo và xin ý kiến Sở Nông nghiệp và Môi trường Thành phố Hồ Chí Minh về nhu cầu tiếp nhận cơ sở nhà, đất Điểm trạm y tế 3 (diện tích 1.276,2 m²) nêu trên để gửi về Ủy ban nhân dân phường Thủ Dầu Một trước ngày 15/6/2026.</w:t>
      </w:r>
    </w:p>
    <w:p>
      <w:pPr>
        <w:spacing w:after="120" w:line="288" w:lineRule="auto"/>
        <w:jc w:val="both"/>
      </w:pPr>
      <w:r>
        <w:rPr>
          <w:rFonts w:ascii="Times New Roman" w:hAnsi="Times New Roman"/>
          <w:sz w:val="26"/>
        </w:rPr>
        <w:t>Trân trọng./.</w:t>
      </w:r>
    </w:p>
    <w:tbl>
      <w:tblPr>
        <w:tblW w:type="auto" w:w="0"/>
        <w:jc w:val="center"/>
        <w:tblLayout w:type="fixed"/>
        <w:tblLook w:firstColumn="1" w:firstRow="1" w:lastColumn="0" w:lastRow="0" w:noHBand="0" w:noVBand="1" w:val="04A0"/>
      </w:tblPr>
      <w:tblGrid>
        <w:gridCol w:w="4536"/>
        <w:gridCol w:w="4536"/>
      </w:tblGrid>
      <w:tr>
        <w:tc>
          <w:tcPr>
            <w:tcW w:type="dxa" w:w="4608"/>
          </w:tcPr>
          <w:p>
            <w:r>
              <w:rPr>
                <w:b/>
                <w:sz w:val="22"/>
              </w:rPr>
              <w:t>Nơi nhận:</w:t>
              <w:br/>
            </w:r>
            <w:r>
              <w:rPr>
                <w:sz w:val="21"/>
              </w:rPr>
              <w:t>- Như trên (thực hiện);</w:t>
              <w:br/>
              <w:t>- CT, các PCT. UBND phường;</w:t>
              <w:br/>
              <w:t>- Phòng KTHT&amp;ĐT phường;</w:t>
              <w:br/>
              <w:t>- Lưu: VT, TH.</w:t>
            </w:r>
          </w:p>
        </w:tc>
        <w:tc>
          <w:tcPr>
            <w:tcW w:type="dxa" w:w="4464"/>
          </w:tcPr>
          <w:p>
            <w:pPr>
              <w:jc w:val="center"/>
            </w:pPr>
            <w:r>
              <w:rPr>
                <w:b/>
                <w:sz w:val="24"/>
              </w:rPr>
              <w:t>CHỦ TỊCH</w:t>
              <w:br/>
              <w:br/>
              <w:br/>
              <w:br/>
              <w:br/>
            </w:r>
            <w:r>
              <w:rPr>
                <w:b/>
                <w:sz w:val="25"/>
              </w:rPr>
              <w:t>Trần Phong Lưu</w:t>
            </w:r>
          </w:p>
        </w:tc>
      </w:tr>
    </w:tbl>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