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Luồng ghi dữ liệu trong hệ thống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Các yêu cầu của người dùng gửi đến server sử dụng phương thức HTTP như POST,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PUT, DELETE được xem như là các Command. Các Command này được vận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chuyển từ tầng services đến Command Handlers (nơi kiểm tra tính hợp lệ và xử lý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các Command) thông qua phương thức execute() của CommandBus Mỗi Command sẽ có một Command Handler tương ứng xử lý nó.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Theo mẫu CQRS, mỗi Command sẽ sinh ra một Event. Để tạo và lưu trữ Event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tại kho lưu trữ dữ liệu phía ghi Event Store, sau khi kiểm tra tính hợp lệ của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Command, hệ thống sử dụng Domain Model. Domain Model kế thừa lớp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AggregateRoot sẽ gọi phương thức apply() với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tham số là một Event tương ứng với Command. Tuy nhiên, phương thức này sẽ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không gửi Event đi ngay lập tức vì không tồn tại mối liên hệ giữa Domain Model và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lớp EventPublisher . Để thiết lập mối liên hệ,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hệ thống sử dụng phương thức mergeObjectContext() của EventPublisher bên trong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 Handler. Cuối cùng gọi phương thức commit() của lớp AggregateRoot để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gửi Event đi ngay lập tức.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Sau khi Event được gửi đến Event Store, Event sẽ được lưu lại trong Event Store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và tiếp tục được xử lý bởi Event Handler thông qua EventBus. Tại Event Handler, Event sẽ được lưu trữ tại kho lưu trữ dữ liệu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bên phía đọc là MongoDB dưới dạng dữ liệu có cấu trúc không chuẩn hoá phù hợp.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Nếu việc lưu trữ diễn ra thành công, một Event đánh dấu sự thành công được gửi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đến Event Store thông qua EventBus và tiếp tục được xử lý tại Event Handler tương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ứng (nếu có) và ngược lại.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