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11386"/>
      <w:r>
        <w:rPr>
          <w:rFonts w:hint="eastAsia"/>
          <w:lang w:val="en-US" w:eastAsia="zh-CN"/>
        </w:rPr>
        <w:t>CSS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日期：2018年1月15日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3" w:name="_Toc6644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_Toc11386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CSS</w:t>
      </w:r>
      <w:r>
        <w:tab/>
      </w:r>
      <w:r>
        <w:fldChar w:fldCharType="begin"/>
      </w:r>
      <w:r>
        <w:instrText xml:space="preserve"> PAGEREF _Toc11386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_Toc6644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_Toc6644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_Toc1302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_Toc1302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一、定位</w:t>
      </w:r>
      <w:r>
        <w:tab/>
      </w:r>
      <w:r>
        <w:fldChar w:fldCharType="begin"/>
      </w:r>
      <w:r>
        <w:instrText xml:space="preserve"> PAGEREF _Toc2800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_Toc15824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 相对定位</w:t>
      </w:r>
      <w:r>
        <w:tab/>
      </w:r>
      <w:r>
        <w:fldChar w:fldCharType="begin"/>
      </w:r>
      <w:r>
        <w:instrText xml:space="preserve"> PAGEREF _Toc15824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_Toc18774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 绝对定位</w:t>
      </w:r>
      <w:r>
        <w:tab/>
      </w:r>
      <w:r>
        <w:fldChar w:fldCharType="begin"/>
      </w:r>
      <w:r>
        <w:instrText xml:space="preserve"> PAGEREF _Toc18774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_Toc9729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1.2.1 不针对祖先元素的定位参考点</w:t>
      </w:r>
      <w:r>
        <w:tab/>
      </w:r>
      <w:r>
        <w:fldChar w:fldCharType="begin"/>
      </w:r>
      <w:r>
        <w:instrText xml:space="preserve"> PAGEREF _Toc9729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_Toc3905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1.2.2 针对祖先元素的定位参考元素</w:t>
      </w:r>
      <w:r>
        <w:tab/>
      </w:r>
      <w:r>
        <w:fldChar w:fldCharType="begin"/>
      </w:r>
      <w:r>
        <w:instrText xml:space="preserve"> PAGEREF _Toc3905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_Toc7919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1.2.3 绝对定位参考顶点</w:t>
      </w:r>
      <w:r>
        <w:tab/>
      </w:r>
      <w:r>
        <w:fldChar w:fldCharType="begin"/>
      </w:r>
      <w:r>
        <w:instrText xml:space="preserve"> PAGEREF _Toc7919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_Toc29192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1.2.4 压盖效果</w:t>
      </w:r>
      <w:r>
        <w:tab/>
      </w:r>
      <w:r>
        <w:fldChar w:fldCharType="begin"/>
      </w:r>
      <w:r>
        <w:instrText xml:space="preserve"> PAGEREF _Toc29192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_Toc1278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1.2.5 绝对定位元素的水平居中</w:t>
      </w:r>
      <w:r>
        <w:tab/>
      </w:r>
      <w:r>
        <w:fldChar w:fldCharType="begin"/>
      </w:r>
      <w:r>
        <w:instrText xml:space="preserve"> PAGEREF _Toc1278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_Toc12106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1.2.6 应用</w:t>
      </w:r>
      <w:r>
        <w:tab/>
      </w:r>
      <w:r>
        <w:fldChar w:fldCharType="begin"/>
      </w:r>
      <w:r>
        <w:instrText xml:space="preserve"> PAGEREF _Toc12106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_Toc12049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1.3固定定位</w:t>
      </w:r>
      <w:r>
        <w:tab/>
      </w:r>
      <w:r>
        <w:fldChar w:fldCharType="begin"/>
      </w:r>
      <w:r>
        <w:instrText xml:space="preserve"> PAGEREF _Toc12049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_Toc31531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1.4 应用</w:t>
      </w:r>
      <w:r>
        <w:tab/>
      </w:r>
      <w:r>
        <w:fldChar w:fldCharType="begin"/>
      </w:r>
      <w:r>
        <w:instrText xml:space="preserve"> PAGEREF _Toc31531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_Toc7744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1.5 z-index</w:t>
      </w:r>
      <w:r>
        <w:tab/>
      </w:r>
      <w:r>
        <w:fldChar w:fldCharType="begin"/>
      </w:r>
      <w:r>
        <w:instrText xml:space="preserve"> PAGEREF _Toc7744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_Toc8644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二、 hack</w:t>
      </w:r>
      <w:r>
        <w:tab/>
      </w:r>
      <w:r>
        <w:fldChar w:fldCharType="begin"/>
      </w:r>
      <w:r>
        <w:instrText xml:space="preserve"> PAGEREF _Toc8644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 html hack</w:t>
      </w:r>
      <w:r>
        <w:tab/>
      </w:r>
      <w:r>
        <w:fldChar w:fldCharType="begin"/>
      </w:r>
      <w:r>
        <w:instrText xml:space="preserve"> PAGEREF _Toc2077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_Toc7384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 css hack</w:t>
      </w:r>
      <w:r>
        <w:tab/>
      </w:r>
      <w:r>
        <w:fldChar w:fldCharType="begin"/>
      </w:r>
      <w:r>
        <w:instrText xml:space="preserve"> PAGEREF _Toc7384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_Toc30729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2.2.1css值的hack</w:t>
      </w:r>
      <w:r>
        <w:tab/>
      </w:r>
      <w:r>
        <w:fldChar w:fldCharType="begin"/>
      </w:r>
      <w:r>
        <w:instrText xml:space="preserve"> PAGEREF _Toc30729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_Toc2109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2.2.2 css选择器hack</w:t>
      </w:r>
      <w:r>
        <w:tab/>
      </w:r>
      <w:r>
        <w:fldChar w:fldCharType="begin"/>
      </w:r>
      <w:r>
        <w:instrText xml:space="preserve"> PAGEREF _Toc2109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_Toc26746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三、 IE6的兼容</w:t>
      </w:r>
      <w:r>
        <w:tab/>
      </w:r>
      <w:r>
        <w:fldChar w:fldCharType="begin"/>
      </w:r>
      <w:r>
        <w:instrText xml:space="preserve"> PAGEREF _Toc26746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_Toc29352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3.1 选择器的兼容</w:t>
      </w:r>
      <w:r>
        <w:tab/>
      </w:r>
      <w:r>
        <w:fldChar w:fldCharType="begin"/>
      </w:r>
      <w:r>
        <w:instrText xml:space="preserve"> PAGEREF _Toc29352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_Toc31515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3.2 盒模型的兼容</w:t>
      </w:r>
      <w:r>
        <w:tab/>
      </w:r>
      <w:r>
        <w:fldChar w:fldCharType="begin"/>
      </w:r>
      <w:r>
        <w:instrText xml:space="preserve"> PAGEREF _Toc31515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_Toc13755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3.2.1</w:t>
      </w:r>
      <w:r>
        <w:rPr>
          <w:rFonts w:hint="default"/>
          <w:lang w:val="en-US" w:eastAsia="zh-CN"/>
        </w:rPr>
        <w:t>如果不写DTD，IE6里的盒子是内减的，其他浏览器是外扩。</w:t>
      </w:r>
      <w:r>
        <w:tab/>
      </w:r>
      <w:r>
        <w:fldChar w:fldCharType="begin"/>
      </w:r>
      <w:r>
        <w:instrText xml:space="preserve"> PAGEREF _Toc13755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_Toc28453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3.2.2</w:t>
      </w:r>
      <w:r>
        <w:rPr>
          <w:rFonts w:hint="default"/>
          <w:lang w:val="en-US" w:eastAsia="zh-CN"/>
        </w:rPr>
        <w:t>如果盒子高度小于默认字号，不会正常显示。高度会是最小的字号。</w:t>
      </w:r>
      <w:r>
        <w:tab/>
      </w:r>
      <w:r>
        <w:fldChar w:fldCharType="begin"/>
      </w:r>
      <w:r>
        <w:instrText xml:space="preserve"> PAGEREF _Toc28453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_Toc6010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3.3 浮动的兼容</w:t>
      </w:r>
      <w:bookmarkStart w:id="34" w:name="_GoBack"/>
      <w:bookmarkEnd w:id="34"/>
      <w:r>
        <w:tab/>
      </w:r>
      <w:r>
        <w:fldChar w:fldCharType="begin"/>
      </w:r>
      <w:r>
        <w:instrText xml:space="preserve"> PAGEREF _Toc6010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_Toc12144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3.3.1 不浮动的盒子不会钻到底下</w:t>
      </w:r>
      <w:r>
        <w:tab/>
      </w:r>
      <w:r>
        <w:fldChar w:fldCharType="begin"/>
      </w:r>
      <w:r>
        <w:instrText xml:space="preserve"> PAGEREF _Toc12144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_Toc18594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3.3.2 3pxbug</w:t>
      </w:r>
      <w:r>
        <w:tab/>
      </w:r>
      <w:r>
        <w:fldChar w:fldCharType="begin"/>
      </w:r>
      <w:r>
        <w:instrText xml:space="preserve"> PAGEREF _Toc18594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_Toc24065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3.3.3 双倍margin问题</w:t>
      </w:r>
      <w:r>
        <w:tab/>
      </w:r>
      <w:r>
        <w:fldChar w:fldCharType="begin"/>
      </w:r>
      <w:r>
        <w:instrText xml:space="preserve"> PAGEREF _Toc24065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302"/>
      <w:r>
        <w:rPr>
          <w:rFonts w:hint="eastAsia"/>
          <w:lang w:val="en-US" w:eastAsia="zh-CN"/>
        </w:rPr>
        <w:t>复习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a标签是行内元素，不能设置宽高。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A标签不能从祖先text-decoration和color，只能单独给a设置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 a:visited  a:hover  a:active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Background-color:渲染位置是border以内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表示法rgba(255,0,0,</w:t>
      </w:r>
      <w:r>
        <w:rPr>
          <w:rFonts w:hint="eastAsia"/>
          <w:color w:val="FF0000"/>
          <w:lang w:val="en-US" w:eastAsia="zh-CN"/>
        </w:rPr>
        <w:t>.6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Background-image:url()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Background-repeat:背景重复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像素表示法:100px 50px;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精灵图：①设置盒子的宽高 ②通过background-position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单词表示法：left right </w:t>
      </w:r>
      <w:r>
        <w:rPr>
          <w:rFonts w:hint="eastAsia"/>
          <w:color w:val="FF0000"/>
          <w:lang w:val="en-US" w:eastAsia="zh-CN"/>
        </w:rPr>
        <w:t>center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bottom  center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百分数表示法：40% 100%;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Background-attachment:scroll(默认值)   fixed(固定)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  <w:bookmarkStart w:id="5" w:name="_Toc7171"/>
      <w:bookmarkStart w:id="6" w:name="_Toc2800"/>
      <w:r>
        <w:rPr>
          <w:rFonts w:hint="eastAsia"/>
          <w:lang w:eastAsia="zh-CN"/>
        </w:rPr>
        <w:t>一、定位</w:t>
      </w:r>
      <w:bookmarkEnd w:id="5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8924"/>
      <w:bookmarkStart w:id="8" w:name="_Toc15824"/>
      <w:r>
        <w:rPr>
          <w:rFonts w:hint="eastAsia"/>
          <w:lang w:val="en-US" w:eastAsia="zh-CN"/>
        </w:rPr>
        <w:t>1.1 相对定位</w:t>
      </w:r>
      <w:bookmarkEnd w:id="7"/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css布局：盒模型、浮动、定位。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css辅助属性：a,background,其他属性是使网站更加美观的属性。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定位：相对定位，绝对定位，固定定位。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脱标的方法：浮动，绝对定位，固定定位。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属性值：relative(相对定位)  absolute(绝对定位)   fixed(固定定位)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水平方向：left right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垂直方向：top bottom（水平和垂直各选一个属性值）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left:140px;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top:40px;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5" o:spt="75" type="#_x0000_t75" style="height:173.45pt;width:148.8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Box2相对于原位置进行的偏移。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相对定位：没有脱离标准文档流；保留原位置，新位置是相对于原位置进行的偏移。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偏移的方向有4个方向，数值可以是正数。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Left:40px;    //向右偏移40px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right:40px;   //向左偏移40px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Top:40px;     //向下偏移40px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Bottom:40px;  //向上偏移40px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还可以书写负值，表示相同方向的偏移。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.box4{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/*表示向右偏移140px*/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right:-140px;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/*表示向下偏移50px*/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bottom:-50px;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6" o:spt="75" type="#_x0000_t75" style="height:64.65pt;width:63.2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负数也可以转换为正数：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right:-140px;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bottom:-50px;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/*等价于*/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left:140px;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top:50px;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应用：位置微调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span{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top:-10px;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left:5px;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16px;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7" o:spt="75" type="#_x0000_t75" style="height:31.45pt;width:242.6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相对定位的盒子作为绝对定位盒子的参考盒子“</w:t>
      </w:r>
      <w:r>
        <w:rPr>
          <w:rFonts w:hint="eastAsia"/>
          <w:color w:val="FF0000"/>
          <w:lang w:eastAsia="zh-CN"/>
        </w:rPr>
        <w:t>子绝父相</w:t>
      </w:r>
      <w:r>
        <w:rPr>
          <w:rFonts w:hint="eastAsia"/>
          <w:lang w:eastAsia="zh-CN"/>
        </w:rPr>
        <w:t>”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8774"/>
      <w:r>
        <w:rPr>
          <w:rFonts w:hint="eastAsia"/>
          <w:lang w:val="en-US" w:eastAsia="zh-CN"/>
        </w:rPr>
        <w:t>1.2 绝对定位</w:t>
      </w:r>
      <w:bookmarkEnd w:id="9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Position:absolute;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也是有四个方向的偏移left   right   top   bottom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left:140px;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top:40px;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Box2原位置没有保留让给了其他标准流的元素；绝对定位的元素脱离标准文档流。不会保留原位置。</w:t>
            </w:r>
          </w:p>
        </w:tc>
      </w:tr>
    </w:tbl>
    <w:p>
      <w:pPr>
        <w:ind w:firstLine="420" w:firstLineChars="0"/>
      </w:pPr>
      <w:r>
        <w:pict>
          <v:shape id="_x0000_i1028" o:spt="75" type="#_x0000_t75" style="height:140.2pt;width:98.9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bookmarkStart w:id="10" w:name="_Toc9729"/>
      <w:r>
        <w:rPr>
          <w:rFonts w:hint="eastAsia"/>
          <w:lang w:val="en-US" w:eastAsia="zh-CN"/>
        </w:rPr>
        <w:t>1.2.1 不针对祖先元素的定位参考点</w:t>
      </w:r>
      <w:bookmarkEnd w:id="1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有top参与绝对定位的参考点是</w:t>
      </w:r>
      <w:r>
        <w:rPr>
          <w:rFonts w:hint="eastAsia"/>
          <w:color w:val="FF0000"/>
          <w:lang w:val="en-US" w:eastAsia="zh-CN"/>
        </w:rPr>
        <w:t>页面</w:t>
      </w:r>
      <w:r>
        <w:rPr>
          <w:rFonts w:hint="eastAsia"/>
          <w:lang w:val="en-US" w:eastAsia="zh-CN"/>
        </w:rPr>
        <w:t>的左上或者右上角。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/*left:140px;*/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right:40px;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top:40px;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//参考点是页面的右上角</w:t>
            </w:r>
          </w:p>
        </w:tc>
      </w:tr>
    </w:tbl>
    <w:p>
      <w:pPr>
        <w:ind w:firstLine="420" w:firstLineChars="0"/>
      </w:pPr>
      <w:r>
        <w:pict>
          <v:shape id="_x0000_i1029" o:spt="75" type="#_x0000_t75" style="height:45.85pt;width:264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  <w:lang w:eastAsia="zh-CN"/>
        </w:rPr>
        <w:pict>
          <v:shape id="_x0000_i1030" o:spt="75" alt="top" type="#_x0000_t75" style="height:226.45pt;width:247.95pt;" filled="f" o:preferrelative="t" stroked="f" coordsize="21600,21600">
            <v:path/>
            <v:fill on="f" focussize="0,0"/>
            <v:stroke on="f"/>
            <v:imagedata r:id="rId11" o:title="top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有bottom参与的情况参考点是</w:t>
      </w:r>
      <w:r>
        <w:rPr>
          <w:rFonts w:hint="eastAsia"/>
          <w:color w:val="FF0000"/>
          <w:lang w:val="en-US" w:eastAsia="zh-CN"/>
        </w:rPr>
        <w:t>首屏</w:t>
      </w:r>
      <w:r>
        <w:rPr>
          <w:rFonts w:hint="eastAsia"/>
          <w:lang w:val="en-US" w:eastAsia="zh-CN"/>
        </w:rPr>
        <w:t>的右下或者左下角。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.box3{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bottom:50px;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right:50px;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/*left:100px;*/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1" o:spt="75" type="#_x0000_t75" style="height:71.75pt;width:321.0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 w:eastAsia="宋体"/>
          <w:lang w:eastAsia="zh-CN"/>
        </w:rPr>
        <w:pict>
          <v:shape id="_x0000_i1032" o:spt="75" alt="bottom" type="#_x0000_t75" style="height:208.4pt;width:206.25pt;" filled="f" o:preferrelative="t" stroked="f" coordsize="21600,21600">
            <v:path/>
            <v:fill on="f" focussize="0,0"/>
            <v:stroke on="f"/>
            <v:imagedata r:id="rId13" o:title="bottom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3" o:spt="75" alt="图片1" type="#_x0000_t75" style="height:290.2pt;width:495.7pt;" filled="f" o:preferrelative="t" stroked="f" coordsize="21600,21600">
            <v:path/>
            <v:fill on="f" focussize="0,0"/>
            <v:stroke on="f"/>
            <v:imagedata r:id="rId14" o:title="图片1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4" o:spt="75" alt="图片2" type="#_x0000_t75" style="height:235.95pt;width:403pt;" filled="f" o:preferrelative="t" stroked="f" coordsize="21600,21600">
            <v:path/>
            <v:fill on="f" focussize="0,0"/>
            <v:stroke on="f"/>
            <v:imagedata r:id="rId15" o:title="图片2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6008"/>
      <w:bookmarkStart w:id="12" w:name="_Toc3905"/>
      <w:r>
        <w:rPr>
          <w:rFonts w:hint="eastAsia"/>
          <w:lang w:val="en-US" w:eastAsia="zh-CN"/>
        </w:rPr>
        <w:t>1.2.2 针对祖先元素的定位参考元素</w:t>
      </w:r>
      <w:bookmarkEnd w:id="11"/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参考元素：</w:t>
      </w:r>
      <w:r>
        <w:rPr>
          <w:rFonts w:hint="eastAsia"/>
          <w:color w:val="FF0000"/>
          <w:lang w:val="en-US" w:eastAsia="zh-CN"/>
        </w:rPr>
        <w:t>距离最近</w:t>
      </w:r>
      <w:r>
        <w:rPr>
          <w:rFonts w:hint="eastAsia"/>
          <w:lang w:val="en-US" w:eastAsia="zh-CN"/>
        </w:rPr>
        <w:t>且有</w:t>
      </w:r>
      <w:r>
        <w:rPr>
          <w:rFonts w:hint="eastAsia"/>
          <w:color w:val="FF0000"/>
          <w:lang w:val="en-US" w:eastAsia="zh-CN"/>
        </w:rPr>
        <w:t>定位</w:t>
      </w:r>
      <w:r>
        <w:rPr>
          <w:rFonts w:hint="eastAsia"/>
          <w:lang w:val="en-US" w:eastAsia="zh-CN"/>
        </w:rPr>
        <w:t>的祖先元素。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class="box3"&gt;</w:t>
            </w:r>
            <w:r>
              <w:rPr>
                <w:rFonts w:hint="eastAsia" w:ascii="Consolas" w:hAnsi="Consolas" w:cs="Consolas"/>
                <w:lang w:val="en-US" w:eastAsia="zh-CN"/>
              </w:rPr>
              <w:t>//相对定位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&lt;p&gt;&lt;/p&gt;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   //绝对定位（参考的是box3）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3" w:name="_Toc7919"/>
      <w:r>
        <w:rPr>
          <w:rFonts w:hint="eastAsia"/>
          <w:lang w:val="en-US" w:eastAsia="zh-CN"/>
        </w:rPr>
        <w:t>1.2.3 绝对定位参考顶点</w:t>
      </w:r>
      <w:bookmarkEnd w:id="1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无视祖先元素的padding</w:t>
      </w:r>
      <w:r>
        <w:rPr>
          <w:rFonts w:hint="eastAsia"/>
          <w:lang w:val="en-US" w:eastAsia="zh-CN"/>
        </w:rPr>
        <w:t>(参考顶点是：border以内渲染背景的四个定点)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left:30px;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bottom:50px;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5" o:spt="75" type="#_x0000_t75" style="height:93.1pt;width:97.6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29192"/>
      <w:r>
        <w:rPr>
          <w:rFonts w:hint="eastAsia"/>
          <w:lang w:val="en-US" w:eastAsia="zh-CN"/>
        </w:rPr>
        <w:t>1.2.4 压盖效果</w:t>
      </w:r>
      <w:bookmarkEnd w:id="14"/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padding:50px;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.son1{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.son2{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left:100px;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top:150px;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class="son1"&gt;&lt;/p&gt;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class="son2"&gt;&lt;/p&gt;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278"/>
      <w:r>
        <w:rPr>
          <w:rFonts w:hint="eastAsia"/>
          <w:lang w:val="en-US" w:eastAsia="zh-CN"/>
        </w:rPr>
        <w:t>1.2.5 绝对定位元素的水平居中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绝对定位元素的水平居中，margin:0 auto失效。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left:50%;</w:t>
            </w:r>
          </w:p>
        </w:tc>
      </w:tr>
    </w:tbl>
    <w:p>
      <w:r>
        <w:pict>
          <v:shape id="_x0000_i1036" o:spt="75" type="#_x0000_t75" style="height:73.65pt;width:148.05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拉回自身宽度（盒子占有的实际宽度）的一半。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.son2{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80px;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padding:20px;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border:10px solid #eee;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left:50%;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margin-left:-180px;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top:150px;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12106"/>
      <w:r>
        <w:rPr>
          <w:rFonts w:hint="eastAsia"/>
          <w:lang w:val="en-US" w:eastAsia="zh-CN"/>
        </w:rPr>
        <w:t>1.2.6 应用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子绝父相</w:t>
      </w:r>
      <w:r>
        <w:rPr>
          <w:rFonts w:hint="eastAsia"/>
          <w:lang w:val="en-US" w:eastAsia="zh-CN"/>
        </w:rPr>
        <w:t>”：子盒子设置绝对定位，父盒子设置为相对定位。（也有子绝父绝，子绝父固）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因为相对定位结构比较固定。作为绝对定位的参考盒子。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120px;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height:60px;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60px;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a{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120px;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60px;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color:#fff;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a:hover{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border-top:5px solid orange;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top:-5px;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7" w:name="_Toc12049"/>
      <w:r>
        <w:rPr>
          <w:rFonts w:hint="eastAsia"/>
          <w:lang w:val="en-US" w:eastAsia="zh-CN"/>
        </w:rPr>
        <w:t>1.3固定定位</w:t>
      </w:r>
      <w:bookmarkEnd w:id="17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position:fixed;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参考点:浏览器的4个顶点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.top{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80px;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80px;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fixed;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right:50px;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/*top:50px;*/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bottom:50px;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7" o:spt="75" type="#_x0000_t75" style="height:73.7pt;width:210.25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固定定位脱离标准文档流。参考浏览器的四个定点。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1531"/>
      <w:r>
        <w:rPr>
          <w:rFonts w:hint="eastAsia"/>
          <w:lang w:val="en-US" w:eastAsia="zh-CN"/>
        </w:rPr>
        <w:t>1.4 应用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呼吸轮播图：看京东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呼吸轮播图的布局：所有图片摞一起，并且都消失，有cur的出现。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//相对定位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class="imgs"&gt;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class="cur"&gt;&lt;a href=""&gt;&lt;img src="images/c1.jpg" alt="" /&gt;&lt;/a&gt;&lt;/li&gt;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href=""&gt;&lt;img src="images/c2.jpg" alt="" /&gt;&lt;/a&gt;&lt;/li&gt;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href=""&gt;&lt;img src="images/c3.jpg" alt="" /&gt;&lt;/a&gt;&lt;/li&gt;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href=""&gt;&lt;img src="images/c4.jpg" alt="" /&gt;&lt;/a&gt;&lt;/li&gt;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//绝对定位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class="btns"&gt;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href="javascript:void(0);" class="leftBtn"&gt;&amp;lt;&lt;/a&gt;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//绝对定位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href="javascript:void(0);" class="rightBtn"&gt;&amp;gt;&lt;/a&gt;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class="circles"&gt;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//绝对定位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&lt;ol&gt;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class="cur"&gt;&lt;/li&gt;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&lt;/ol&gt;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7744"/>
      <w:r>
        <w:rPr>
          <w:rFonts w:hint="eastAsia"/>
          <w:lang w:val="en-US" w:eastAsia="zh-CN"/>
        </w:rPr>
        <w:t>1.5 z-index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元素默认的压盖顺序：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①有定位的元素压盖住没有定位的元素。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②都有定位的元素后写元素压盖住前面的。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class="son1"&gt;1&lt;/p&gt;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class="son2"&gt;2&lt;/p&gt;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class="son3"&gt;3&lt;/p&gt;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</w:pPr>
      <w:r>
        <w:pict>
          <v:shape id="_x0000_i1038" o:spt="75" type="#_x0000_t75" style="height:98.9pt;width:117.35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自定义压盖顺序：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z-index属性（设置有定位的元素的压盖顺序），浮动不能使用z-index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属性值：数字，数字越大压盖顺序越靠上。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相同z-index,后面的元素会压盖住前面的。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父子盒模型中，父亲z-index小，儿子z-index再大也 没用。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class="big"&gt;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        //z-index:4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class="big_son"&gt;big_son&lt;/p&gt;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//z-index:4444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class="small"&gt;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     //z-index:5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class="small_son"&gt;small_son&lt;/p&gt;</w:t>
            </w:r>
            <w:r>
              <w:rPr>
                <w:rFonts w:hint="eastAsia" w:ascii="Consolas" w:hAnsi="Consolas" w:cs="Consolas"/>
                <w:lang w:val="en-US" w:eastAsia="zh-CN"/>
              </w:rPr>
              <w:t>//z-index:3333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</w:pPr>
      <w:r>
        <w:pict>
          <v:shape id="_x0000_i1039" o:spt="75" type="#_x0000_t75" style="height:87.65pt;width:76.45pt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2"/>
        <w:numPr>
          <w:ilvl w:val="0"/>
          <w:numId w:val="22"/>
        </w:numPr>
        <w:rPr>
          <w:rFonts w:hint="eastAsia"/>
          <w:lang w:val="en-US" w:eastAsia="zh-CN"/>
        </w:rPr>
      </w:pPr>
      <w:bookmarkStart w:id="20" w:name="_Toc8644"/>
      <w:r>
        <w:rPr>
          <w:rFonts w:hint="eastAsia"/>
          <w:lang w:val="en-US" w:eastAsia="zh-CN"/>
        </w:rPr>
        <w:t>hack</w:t>
      </w:r>
      <w:bookmarkEnd w:id="2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hacker黑客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因为浏览器的兼容性问题，我们针对不同的浏览器书写不同html或者css代码，以便达到不同浏览器查看效果相同。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hack 和css hack</w:t>
      </w:r>
    </w:p>
    <w:p>
      <w:pPr>
        <w:pStyle w:val="3"/>
        <w:rPr>
          <w:rFonts w:hint="eastAsia"/>
          <w:lang w:val="en-US" w:eastAsia="zh-CN"/>
        </w:rPr>
      </w:pPr>
      <w:bookmarkStart w:id="21" w:name="_Toc2077"/>
      <w:r>
        <w:rPr>
          <w:rFonts w:hint="eastAsia"/>
          <w:lang w:val="en-US" w:eastAsia="zh-CN"/>
        </w:rPr>
        <w:t>2.1 html hack</w:t>
      </w:r>
      <w:bookmarkEnd w:id="2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IE浏览器兼容有很大问题，给我们提供了很多端口，书写hack。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&lt;!--[if lte IE 9]&gt;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内容部分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&lt;![endif]--&gt;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针对不同的浏览器在同一个html文件里，去写不同的html结构。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IE浏览器有很多兼容性问题，给我们提供了一些接口。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表示Hack符里面的内容只在IE9及以下的浏览器内显示，IE10及以上或者高级浏览器会认为这是注释。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if是如果，lte是less than or equal，小于或者等于，IE浏览器，9代表版本。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lte : less than or equal , 表示小于或等于。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lt : less than , 表示小于。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gt : greater than , 表示大于。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gte:表示大于或者等于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&lt;!--[if lt IE 8]&gt;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&lt;h3&gt;您的浏览器版本过低，请更新浏览器！&lt;/h3&gt;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&lt;![endif]--&gt;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class="box"&gt;文字&lt;/div&gt;</w:t>
            </w:r>
          </w:p>
        </w:tc>
      </w:tr>
    </w:tbl>
    <w:p>
      <w:pPr>
        <w:ind w:firstLine="420" w:firstLineChars="0"/>
      </w:pPr>
      <w:r>
        <w:pict>
          <v:shape id="_x0000_i1040" o:spt="75" type="#_x0000_t75" style="height:57.8pt;width:336.55pt;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 hack：表示小于IE8版本的浏览器可以显示h3标签，大于等于IE8版本的浏览器或者高级浏览器都不显示，认为你这是注释。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&lt;!--[if gt IE 8]&gt;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&lt;h3&gt;只有IE8以上版本的IE低版本浏览器可以显示，高级浏览器或者IE高版本都认为是注释&lt;/h3&gt;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&lt;![endif]--&gt;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class="box"&gt;文字&lt;/div&gt;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gt:表示大于IE的低版本浏览器可以显示，小于或者其他高级浏览器仍然不显示，认为是注释。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应用：可以针对低版本浏览器书写特定的代码。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针对某一个特定的 IE版本有特殊写法：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&lt;!--[if IE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6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]&gt;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&lt;h3&gt;只有IE</w:t>
            </w: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  <w:r>
              <w:rPr>
                <w:rFonts w:hint="default" w:ascii="Consolas" w:hAnsi="Consolas" w:cs="Consolas"/>
                <w:lang w:val="en-US" w:eastAsia="zh-CN"/>
              </w:rPr>
              <w:t>浏览器可以显示，高级浏览器或者IE高版本都认为是注释&lt;/h3&gt;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&lt;![endif]--&gt;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只给IE6浏览器加js 代码，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&lt;!--[if IE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6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]&gt;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 xml:space="preserve"> &lt;script src=</w:t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js/png.js</w:t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&gt;&lt;/script&gt;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&lt;![endif]--&gt;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2" w:name="_Toc7384"/>
      <w:r>
        <w:rPr>
          <w:rFonts w:hint="eastAsia"/>
          <w:lang w:val="en-US" w:eastAsia="zh-CN"/>
        </w:rPr>
        <w:t>2.2 css hack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hack ：值的hack 和选择器hack</w:t>
      </w:r>
    </w:p>
    <w:p>
      <w:pPr>
        <w:pStyle w:val="4"/>
        <w:rPr>
          <w:rFonts w:hint="eastAsia"/>
          <w:lang w:val="en-US" w:eastAsia="zh-CN"/>
        </w:rPr>
      </w:pPr>
      <w:bookmarkStart w:id="23" w:name="_Toc30729"/>
      <w:r>
        <w:rPr>
          <w:rFonts w:hint="eastAsia"/>
          <w:lang w:val="en-US" w:eastAsia="zh-CN"/>
        </w:rPr>
        <w:t>2.2.1css值的hack</w:t>
      </w:r>
      <w:bookmarkEnd w:id="23"/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.selector { _color: blue; }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.selector { -color: blue; 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>-、_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在属性名的前面加下划线或横线。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表示这个属性只有IE6认识，其他的都不认识这个属性。</w:t>
      </w:r>
    </w:p>
    <w:tbl>
      <w:tblPr>
        <w:tblStyle w:val="18"/>
        <w:tblpPr w:leftFromText="180" w:rightFromText="180" w:vertAnchor="text" w:horzAnchor="page" w:tblpX="921" w:tblpY="14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-color:#fff;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   //只有IE6显示文字颜色为白色。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41" o:spt="75" type="#_x0000_t75" style="height:122.5pt;width:219.8pt;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6/7 */  </w:t>
      </w:r>
      <w:r>
        <w:rPr>
          <w:rFonts w:hint="default"/>
          <w:lang w:val="en-US" w:eastAsia="zh-CN"/>
        </w:rPr>
        <w:t xml:space="preserve">   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 xml:space="preserve">! $ &amp; * ( ) = % + @ , . / ` [ ] # ~ ? : &lt; &gt; |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表示这个属性只有IE6/7认识，其他的都不认识这个属性。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8/9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.selector { color: blue\0/; 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>\0/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需要写在属性值的后面。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只在IE8、9里认识。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6/7/8/9/10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.selector { color: blue\9;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>\9.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需要写在属性值的后面，分号前。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2109"/>
      <w:r>
        <w:rPr>
          <w:rFonts w:hint="eastAsia"/>
          <w:lang w:val="en-US" w:eastAsia="zh-CN"/>
        </w:rPr>
        <w:t>2.2.2 css选择器hack</w:t>
      </w:r>
      <w:bookmarkEnd w:id="24"/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 and below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 html .selector  {}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这种选择器只在IE6里加载，其他的浏览器认为你的选择器是错的。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高级浏览器认为html已经是根标签，</w:t>
      </w:r>
      <w:r>
        <w:rPr>
          <w:rFonts w:hint="default"/>
          <w:color w:val="FF0000"/>
          <w:lang w:val="en-US" w:eastAsia="zh-CN"/>
        </w:rPr>
        <w:t>*</w:t>
      </w:r>
      <w:r>
        <w:rPr>
          <w:rFonts w:hint="default"/>
          <w:lang w:val="en-US" w:eastAsia="zh-CN"/>
        </w:rPr>
        <w:t>不是他的祖先元素。</w:t>
      </w:r>
    </w:p>
    <w:tbl>
      <w:tblPr>
        <w:tblStyle w:val="18"/>
        <w:tblpPr w:leftFromText="180" w:rightFromText="180" w:vertAnchor="text" w:horzAnchor="page" w:tblpX="990" w:tblpY="106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* html .box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/*等价写法*/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-width: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_height: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_background: orange;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-color:#000;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42" o:spt="75" type="#_x0000_t75" style="height:85.4pt;width:92.45pt;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7 and below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.selector</w:t>
      </w:r>
      <w:r>
        <w:rPr>
          <w:rFonts w:hint="default"/>
          <w:color w:val="FF0000"/>
          <w:lang w:val="en-US" w:eastAsia="zh-CN"/>
        </w:rPr>
        <w:t xml:space="preserve">, </w:t>
      </w:r>
      <w:r>
        <w:rPr>
          <w:rFonts w:hint="default"/>
          <w:lang w:val="en-US" w:eastAsia="zh-CN"/>
        </w:rPr>
        <w:t xml:space="preserve">{}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/>
          <w:lang w:val="en-US" w:eastAsia="zh-CN"/>
        </w:rPr>
        <w:t>这种选择器只在IE7及以下版本里加载，其他的浏览器认为你的选择器是错的。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.box,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 xml:space="preserve">/* 除了IE 6 */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html </w:t>
      </w:r>
      <w:r>
        <w:rPr>
          <w:rFonts w:hint="default" w:ascii="Consolas" w:hAnsi="Consolas" w:cs="Consolas"/>
          <w:color w:val="FF0000"/>
          <w:lang w:val="en-US" w:eastAsia="zh-CN"/>
        </w:rPr>
        <w:t>&gt;</w:t>
      </w:r>
      <w:r>
        <w:rPr>
          <w:rFonts w:hint="default" w:ascii="Consolas" w:hAnsi="Consolas" w:cs="Consolas"/>
          <w:lang w:val="en-US" w:eastAsia="zh-CN"/>
        </w:rPr>
        <w:t xml:space="preserve"> body .selector {}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&gt;子级选择器：只选择儿子级，后代其他级别不选。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IE6不认识子级选择器。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除了IE6都能正常加载。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html &gt; body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.box{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3"/>
        </w:numPr>
        <w:rPr>
          <w:rFonts w:hint="eastAsia"/>
          <w:lang w:val="en-US" w:eastAsia="zh-CN"/>
        </w:rPr>
      </w:pPr>
      <w:bookmarkStart w:id="25" w:name="_Toc26746"/>
      <w:r>
        <w:rPr>
          <w:rFonts w:hint="eastAsia"/>
          <w:lang w:val="en-US" w:eastAsia="zh-CN"/>
        </w:rPr>
        <w:t>IE6的兼容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9352"/>
      <w:r>
        <w:rPr>
          <w:rFonts w:hint="eastAsia"/>
          <w:lang w:val="en-US" w:eastAsia="zh-CN"/>
        </w:rPr>
        <w:t>3.1 选择器的兼容</w:t>
      </w:r>
      <w:bookmarkEnd w:id="2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IE6不兼容交集选择器里的类选择器连写。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div.box  可以兼容</w:t>
      </w:r>
    </w:p>
    <w:p>
      <w:pPr>
        <w:ind w:firstLine="420" w:firstLineChars="0"/>
        <w:rPr>
          <w:rFonts w:hint="default"/>
          <w:color w:val="FFC000"/>
          <w:lang w:val="en-US" w:eastAsia="zh-CN"/>
        </w:rPr>
      </w:pPr>
      <w:r>
        <w:rPr>
          <w:rFonts w:hint="default"/>
          <w:color w:val="FFC000"/>
          <w:lang w:val="en-US" w:eastAsia="zh-CN"/>
        </w:rPr>
        <w:t>div.box.cl  不兼容</w:t>
      </w:r>
      <w:r>
        <w:rPr>
          <w:rFonts w:hint="eastAsia"/>
          <w:color w:val="FFC000"/>
          <w:lang w:val="en-US" w:eastAsia="zh-CN"/>
        </w:rPr>
        <w:t>（注意）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使用标签和一个类的交集。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其他的7种选择器完美的兼容：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标签、id、类、交集（div.box）、后代、并集、通配符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div.box.cl{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7" w:name="_Toc31515"/>
      <w:r>
        <w:rPr>
          <w:rFonts w:hint="eastAsia"/>
          <w:lang w:val="en-US" w:eastAsia="zh-CN"/>
        </w:rPr>
        <w:t>3.2 盒模型的兼容</w:t>
      </w:r>
      <w:bookmarkEnd w:id="27"/>
    </w:p>
    <w:p>
      <w:pPr>
        <w:pStyle w:val="4"/>
        <w:rPr>
          <w:rFonts w:hint="default"/>
          <w:lang w:val="en-US" w:eastAsia="zh-CN"/>
        </w:rPr>
      </w:pPr>
      <w:bookmarkStart w:id="28" w:name="_Toc13755"/>
      <w:r>
        <w:rPr>
          <w:rFonts w:hint="eastAsia"/>
          <w:lang w:val="en-US" w:eastAsia="zh-CN"/>
        </w:rPr>
        <w:t>3.2.1</w:t>
      </w:r>
      <w:r>
        <w:rPr>
          <w:rFonts w:hint="default"/>
          <w:lang w:val="en-US" w:eastAsia="zh-CN"/>
        </w:rPr>
        <w:t>如果不写DTD，IE6里的盒子是内减的，其他浏览器是外扩。</w:t>
      </w:r>
      <w:bookmarkEnd w:id="2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必须写DTD。</w:t>
      </w:r>
    </w:p>
    <w:p>
      <w:pPr>
        <w:ind w:firstLine="420" w:firstLineChars="0"/>
      </w:pPr>
      <w:r>
        <w:pict>
          <v:shape id="_x0000_i1043" o:spt="75" type="#_x0000_t75" style="height:165.6pt;width:271.85pt;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bookmarkStart w:id="29" w:name="_Toc28453"/>
      <w:r>
        <w:rPr>
          <w:rFonts w:hint="eastAsia"/>
          <w:lang w:val="en-US" w:eastAsia="zh-CN"/>
        </w:rPr>
        <w:t>3.2.2</w:t>
      </w:r>
      <w:r>
        <w:rPr>
          <w:rFonts w:hint="default"/>
          <w:lang w:val="en-US" w:eastAsia="zh-CN"/>
        </w:rPr>
        <w:t>如果盒子高度小于默认字号，不会正常显示。高度会是最小的字号。</w:t>
      </w:r>
      <w:bookmarkEnd w:id="2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单独给IE6浏览器，强制给个很小的字号。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height:3px;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-font-size:0px;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6010"/>
      <w:r>
        <w:rPr>
          <w:rFonts w:hint="eastAsia"/>
          <w:lang w:val="en-US" w:eastAsia="zh-CN"/>
        </w:rPr>
        <w:t>3.3 浮动的兼容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12144"/>
      <w:r>
        <w:rPr>
          <w:rFonts w:hint="eastAsia"/>
          <w:lang w:val="en-US" w:eastAsia="zh-CN"/>
        </w:rPr>
        <w:t>3.3.1 不浮动的盒子不会钻到底下</w:t>
      </w:r>
      <w:bookmarkEnd w:id="31"/>
    </w:p>
    <w:p>
      <w:pPr>
        <w:ind w:firstLine="420" w:firstLineChars="0"/>
      </w:pPr>
      <w:r>
        <w:pict>
          <v:shape id="_x0000_i1044" o:spt="75" type="#_x0000_t75" style="height:157.5pt;width:205.9pt;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情况：一个盒子浮动，一个盒子不浮动，在IE6里，不浮动的盒子不会钻到浮动盒子的下面占领它原来的标准流位置。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解决办法：制作压盖效果用定位。</w:t>
      </w:r>
      <w:r>
        <w:rPr>
          <w:rFonts w:hint="default"/>
          <w:color w:val="FF0000"/>
          <w:lang w:val="en-US" w:eastAsia="zh-CN"/>
        </w:rPr>
        <w:t>同一级的盒子要浮动都浮动</w:t>
      </w:r>
      <w:r>
        <w:rPr>
          <w:rFonts w:hint="eastAsia"/>
          <w:color w:val="FF0000"/>
          <w:lang w:val="en-US" w:eastAsia="zh-CN"/>
        </w:rPr>
        <w:t>，要不浮动都不浮动</w:t>
      </w:r>
      <w:r>
        <w:rPr>
          <w:rFonts w:hint="default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bookmarkStart w:id="32" w:name="_Toc18594"/>
      <w:r>
        <w:rPr>
          <w:rFonts w:hint="eastAsia"/>
          <w:lang w:val="en-US" w:eastAsia="zh-CN"/>
        </w:rPr>
        <w:t>3.3.2 3pxbug</w:t>
      </w:r>
      <w:bookmarkEnd w:id="3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情况：一个浮动，一个不浮动，IE6里两个盒子之间会出现3px的间距。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解决方法：（不允许这么写）。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必须解决：给左边的浮动盒子加一个-3px的右margin。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只给IE6浏览器加，注意Hack符。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pink;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-margin-left:-3px;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//box2加-3pxmargin-left，且只有ie6认识。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45" o:spt="75" type="#_x0000_t75" style="height:102.65pt;width:155.05pt;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bookmarkStart w:id="33" w:name="_Toc24065"/>
      <w:r>
        <w:rPr>
          <w:rFonts w:hint="eastAsia"/>
          <w:lang w:val="en-US" w:eastAsia="zh-CN"/>
        </w:rPr>
        <w:t>3.3.3 双倍margin问题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情况：一些元素浮动，有一个与浮动方向相同的方向的margin，第一个元素会出现双倍边距的问题。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margin-left:10px;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pink;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46" o:spt="75" type="#_x0000_t75" style="height:85.35pt;width:303.7pt;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解决办法：①用父亲的padding去挤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590px;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border:1px solid #ddd;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margin:100px auto;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padding-left:10px;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p.first{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margin-left: 0;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②给浮动的元素相反方向的margin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margin-right:10px;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pink;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③给第一个浮动的元素margin减半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p.first{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margin-left: 5px;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Adobe Naskh Medium">
    <w:altName w:val="DaunPenh"/>
    <w:panose1 w:val="01010101010101010101"/>
    <w:charset w:val="00"/>
    <w:family w:val="auto"/>
    <w:pitch w:val="default"/>
    <w:sig w:usb0="00000000" w:usb1="00000000" w:usb2="00000000" w:usb3="00000000" w:csb0="2000004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altName w:val="CordiaUPC"/>
    <w:panose1 w:val="020B0300000000000000"/>
    <w:charset w:val="00"/>
    <w:family w:val="auto"/>
    <w:pitch w:val="default"/>
    <w:sig w:usb0="00000000" w:usb1="00000000" w:usb2="00000016" w:usb3="00000000" w:csb0="2002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94A19A8"/>
    <w:multiLevelType w:val="singleLevel"/>
    <w:tmpl w:val="594A19A8"/>
    <w:lvl w:ilvl="0" w:tentative="0">
      <w:start w:val="2"/>
      <w:numFmt w:val="chineseCounting"/>
      <w:suff w:val="nothing"/>
      <w:lvlText w:val="%1、"/>
      <w:lvlJc w:val="left"/>
    </w:lvl>
  </w:abstractNum>
  <w:abstractNum w:abstractNumId="56">
    <w:nsid w:val="594A289F"/>
    <w:multiLevelType w:val="singleLevel"/>
    <w:tmpl w:val="594A289F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5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55"/>
  </w:num>
  <w:num w:numId="23">
    <w:abstractNumId w:val="56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  <w:num w:numId="56">
    <w:abstractNumId w:val="53"/>
  </w:num>
  <w:num w:numId="57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B3410"/>
    <w:rsid w:val="010E3A48"/>
    <w:rsid w:val="011646D7"/>
    <w:rsid w:val="011F25EA"/>
    <w:rsid w:val="013E2018"/>
    <w:rsid w:val="0140551C"/>
    <w:rsid w:val="01885910"/>
    <w:rsid w:val="018B0A87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2FE6023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440208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74771"/>
    <w:rsid w:val="05BA44C7"/>
    <w:rsid w:val="05E83F64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261F6C"/>
    <w:rsid w:val="085262B3"/>
    <w:rsid w:val="08E14310"/>
    <w:rsid w:val="08FA28CC"/>
    <w:rsid w:val="090D3C95"/>
    <w:rsid w:val="092E2F9F"/>
    <w:rsid w:val="0937562C"/>
    <w:rsid w:val="09596E65"/>
    <w:rsid w:val="09641372"/>
    <w:rsid w:val="09AC0DCB"/>
    <w:rsid w:val="09FE1A6D"/>
    <w:rsid w:val="0A1E592A"/>
    <w:rsid w:val="0A382B5B"/>
    <w:rsid w:val="0A3A1BC4"/>
    <w:rsid w:val="0A9C2975"/>
    <w:rsid w:val="0AAC3E4B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B04A3B"/>
    <w:rsid w:val="0BC649E1"/>
    <w:rsid w:val="0BF7616D"/>
    <w:rsid w:val="0C2C402F"/>
    <w:rsid w:val="0C5248B9"/>
    <w:rsid w:val="0C84479E"/>
    <w:rsid w:val="0C8A21A0"/>
    <w:rsid w:val="0CD53DEA"/>
    <w:rsid w:val="0CD87D21"/>
    <w:rsid w:val="0D253505"/>
    <w:rsid w:val="0D2A42A8"/>
    <w:rsid w:val="0D323995"/>
    <w:rsid w:val="0D750EA4"/>
    <w:rsid w:val="0D781E29"/>
    <w:rsid w:val="0DD37FFC"/>
    <w:rsid w:val="0E1651AA"/>
    <w:rsid w:val="0E224840"/>
    <w:rsid w:val="0E2322C1"/>
    <w:rsid w:val="0E502FE9"/>
    <w:rsid w:val="0E832639"/>
    <w:rsid w:val="0EB84E9B"/>
    <w:rsid w:val="0EBD0E3B"/>
    <w:rsid w:val="0EC04C0E"/>
    <w:rsid w:val="0EEB1D0A"/>
    <w:rsid w:val="0F064AB2"/>
    <w:rsid w:val="0F4D0F0F"/>
    <w:rsid w:val="0F636411"/>
    <w:rsid w:val="0F65034F"/>
    <w:rsid w:val="0F68604C"/>
    <w:rsid w:val="0F7000C0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DC6767"/>
    <w:rsid w:val="10E74FC8"/>
    <w:rsid w:val="11177D15"/>
    <w:rsid w:val="113D4512"/>
    <w:rsid w:val="118026D3"/>
    <w:rsid w:val="11A73019"/>
    <w:rsid w:val="11A76AF0"/>
    <w:rsid w:val="11AD150E"/>
    <w:rsid w:val="11B67C1F"/>
    <w:rsid w:val="11D23CCC"/>
    <w:rsid w:val="12003516"/>
    <w:rsid w:val="124A6E0E"/>
    <w:rsid w:val="127A6FC3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C452B1"/>
    <w:rsid w:val="13E75935"/>
    <w:rsid w:val="13FE1069"/>
    <w:rsid w:val="140D7D73"/>
    <w:rsid w:val="14170E10"/>
    <w:rsid w:val="1420295B"/>
    <w:rsid w:val="14214C4A"/>
    <w:rsid w:val="14281C22"/>
    <w:rsid w:val="14324440"/>
    <w:rsid w:val="14414227"/>
    <w:rsid w:val="14985759"/>
    <w:rsid w:val="14AC0B76"/>
    <w:rsid w:val="14C75C25"/>
    <w:rsid w:val="14ED4E63"/>
    <w:rsid w:val="14F41529"/>
    <w:rsid w:val="15017751"/>
    <w:rsid w:val="15291146"/>
    <w:rsid w:val="15451C66"/>
    <w:rsid w:val="15574892"/>
    <w:rsid w:val="15631DBE"/>
    <w:rsid w:val="156825AE"/>
    <w:rsid w:val="15794A47"/>
    <w:rsid w:val="157C6E5B"/>
    <w:rsid w:val="15861E85"/>
    <w:rsid w:val="158E68AC"/>
    <w:rsid w:val="159B6950"/>
    <w:rsid w:val="15A02708"/>
    <w:rsid w:val="15D31C5D"/>
    <w:rsid w:val="15DA1FA8"/>
    <w:rsid w:val="1617364B"/>
    <w:rsid w:val="161B58D5"/>
    <w:rsid w:val="162332D9"/>
    <w:rsid w:val="1692366F"/>
    <w:rsid w:val="16B04F37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8116C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484788"/>
    <w:rsid w:val="19640835"/>
    <w:rsid w:val="198B76B6"/>
    <w:rsid w:val="19AB482C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C1C"/>
    <w:rsid w:val="1B2D19A0"/>
    <w:rsid w:val="1B3D0455"/>
    <w:rsid w:val="1B4701CA"/>
    <w:rsid w:val="1B4D457D"/>
    <w:rsid w:val="1B5A5997"/>
    <w:rsid w:val="1B780E49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11F4C"/>
    <w:rsid w:val="1D046798"/>
    <w:rsid w:val="1D181F4A"/>
    <w:rsid w:val="1D3A0C19"/>
    <w:rsid w:val="1D5A6237"/>
    <w:rsid w:val="1D667ACB"/>
    <w:rsid w:val="1D923E12"/>
    <w:rsid w:val="1D926999"/>
    <w:rsid w:val="1DAA14B9"/>
    <w:rsid w:val="1E026739"/>
    <w:rsid w:val="1E1259E5"/>
    <w:rsid w:val="1E777926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F96413"/>
    <w:rsid w:val="20FB6868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3F43433"/>
    <w:rsid w:val="240E24B8"/>
    <w:rsid w:val="243D6DD2"/>
    <w:rsid w:val="24715782"/>
    <w:rsid w:val="24A74E09"/>
    <w:rsid w:val="24BC23E6"/>
    <w:rsid w:val="24C7087D"/>
    <w:rsid w:val="25323514"/>
    <w:rsid w:val="253A41A3"/>
    <w:rsid w:val="25745489"/>
    <w:rsid w:val="25757480"/>
    <w:rsid w:val="257F7D90"/>
    <w:rsid w:val="25AC53DC"/>
    <w:rsid w:val="25CC7E8F"/>
    <w:rsid w:val="25E0082D"/>
    <w:rsid w:val="25F2627E"/>
    <w:rsid w:val="25FF73E4"/>
    <w:rsid w:val="260E79FF"/>
    <w:rsid w:val="263F0FF1"/>
    <w:rsid w:val="264542D6"/>
    <w:rsid w:val="26711CA2"/>
    <w:rsid w:val="2684763E"/>
    <w:rsid w:val="26A91DFC"/>
    <w:rsid w:val="26C72969"/>
    <w:rsid w:val="2704340F"/>
    <w:rsid w:val="270962CA"/>
    <w:rsid w:val="271C6780"/>
    <w:rsid w:val="273F35F4"/>
    <w:rsid w:val="27734D48"/>
    <w:rsid w:val="27740FE6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B2AEB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6812D7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AB328C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A844DE"/>
    <w:rsid w:val="30B8257C"/>
    <w:rsid w:val="30E730CB"/>
    <w:rsid w:val="311006D4"/>
    <w:rsid w:val="314246DE"/>
    <w:rsid w:val="316C120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70D1CC5"/>
    <w:rsid w:val="371C2196"/>
    <w:rsid w:val="37334C89"/>
    <w:rsid w:val="376016E5"/>
    <w:rsid w:val="376F7781"/>
    <w:rsid w:val="378E47B3"/>
    <w:rsid w:val="379628C0"/>
    <w:rsid w:val="37A90ACB"/>
    <w:rsid w:val="37D44210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9EC004D"/>
    <w:rsid w:val="3A0045B7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4334E9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B15682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F016A34"/>
    <w:rsid w:val="3F043070"/>
    <w:rsid w:val="3F17428F"/>
    <w:rsid w:val="3F2B67B3"/>
    <w:rsid w:val="3F2D1CB6"/>
    <w:rsid w:val="3F3476AF"/>
    <w:rsid w:val="3F3E79D2"/>
    <w:rsid w:val="3F767828"/>
    <w:rsid w:val="3F8D5553"/>
    <w:rsid w:val="3FD921CF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AE386E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655171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B03E7E"/>
    <w:rsid w:val="43CB1CC4"/>
    <w:rsid w:val="43D713A1"/>
    <w:rsid w:val="43DE6767"/>
    <w:rsid w:val="43F15787"/>
    <w:rsid w:val="44277D44"/>
    <w:rsid w:val="445D4EE0"/>
    <w:rsid w:val="44C223B5"/>
    <w:rsid w:val="44C766E4"/>
    <w:rsid w:val="44CB50EA"/>
    <w:rsid w:val="450A2376"/>
    <w:rsid w:val="452D7EA0"/>
    <w:rsid w:val="45423E2F"/>
    <w:rsid w:val="45512860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7061B57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322059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E113D2"/>
    <w:rsid w:val="4A105C92"/>
    <w:rsid w:val="4A580DC1"/>
    <w:rsid w:val="4A6D27A8"/>
    <w:rsid w:val="4AC21649"/>
    <w:rsid w:val="4ADC40E1"/>
    <w:rsid w:val="4AF968CD"/>
    <w:rsid w:val="4B117A9F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B46B07"/>
    <w:rsid w:val="4CC33161"/>
    <w:rsid w:val="4CC76CC0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6A1D33"/>
    <w:rsid w:val="4EA54661"/>
    <w:rsid w:val="4ED07F4D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4FFC60D1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68719D"/>
    <w:rsid w:val="516C5BA3"/>
    <w:rsid w:val="518C3EDA"/>
    <w:rsid w:val="51B75920"/>
    <w:rsid w:val="51D337E4"/>
    <w:rsid w:val="51E91406"/>
    <w:rsid w:val="51EB180E"/>
    <w:rsid w:val="52077FA0"/>
    <w:rsid w:val="521108B0"/>
    <w:rsid w:val="526C5746"/>
    <w:rsid w:val="52712085"/>
    <w:rsid w:val="52715451"/>
    <w:rsid w:val="527B5D61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5250D4"/>
    <w:rsid w:val="53F86552"/>
    <w:rsid w:val="54067A66"/>
    <w:rsid w:val="54140080"/>
    <w:rsid w:val="5421181E"/>
    <w:rsid w:val="54421484"/>
    <w:rsid w:val="54861D20"/>
    <w:rsid w:val="54AD4C2B"/>
    <w:rsid w:val="54B57C0A"/>
    <w:rsid w:val="54C2369C"/>
    <w:rsid w:val="5519505C"/>
    <w:rsid w:val="552968C4"/>
    <w:rsid w:val="55587413"/>
    <w:rsid w:val="5569512F"/>
    <w:rsid w:val="5595240E"/>
    <w:rsid w:val="55995C7E"/>
    <w:rsid w:val="55F8151B"/>
    <w:rsid w:val="56155247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3632F7"/>
    <w:rsid w:val="575304D2"/>
    <w:rsid w:val="5757185A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941AEB"/>
    <w:rsid w:val="59A247FF"/>
    <w:rsid w:val="59B01D1D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9514F5"/>
    <w:rsid w:val="5BC62F1F"/>
    <w:rsid w:val="5BE43FCA"/>
    <w:rsid w:val="5BF5705B"/>
    <w:rsid w:val="5C0D079E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B305FF"/>
    <w:rsid w:val="61B7332A"/>
    <w:rsid w:val="61EB3135"/>
    <w:rsid w:val="61FA594E"/>
    <w:rsid w:val="621B68E4"/>
    <w:rsid w:val="624337C3"/>
    <w:rsid w:val="624B0BD0"/>
    <w:rsid w:val="62597E92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E64A8F"/>
    <w:rsid w:val="650A3D08"/>
    <w:rsid w:val="65162368"/>
    <w:rsid w:val="653D475A"/>
    <w:rsid w:val="65407929"/>
    <w:rsid w:val="654A611D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ED1902"/>
    <w:rsid w:val="69F858D1"/>
    <w:rsid w:val="6A223CAF"/>
    <w:rsid w:val="6A3A5C63"/>
    <w:rsid w:val="6A4B15F0"/>
    <w:rsid w:val="6A4B7F1C"/>
    <w:rsid w:val="6A6D5E23"/>
    <w:rsid w:val="6A7B760E"/>
    <w:rsid w:val="6A8E78F5"/>
    <w:rsid w:val="6AB06D96"/>
    <w:rsid w:val="6AB4579C"/>
    <w:rsid w:val="6AFE5D13"/>
    <w:rsid w:val="6B3C21FD"/>
    <w:rsid w:val="6BA40927"/>
    <w:rsid w:val="6BCC6269"/>
    <w:rsid w:val="6BCD3CEA"/>
    <w:rsid w:val="6BD01BCA"/>
    <w:rsid w:val="6C37119B"/>
    <w:rsid w:val="6C39469E"/>
    <w:rsid w:val="6C622CA1"/>
    <w:rsid w:val="6C6B5B04"/>
    <w:rsid w:val="6CD31019"/>
    <w:rsid w:val="6CD77C62"/>
    <w:rsid w:val="6D0B7DBE"/>
    <w:rsid w:val="6D1D3A71"/>
    <w:rsid w:val="6D4270CF"/>
    <w:rsid w:val="6D7256A0"/>
    <w:rsid w:val="6D740BA3"/>
    <w:rsid w:val="6DA5660F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DA2621"/>
    <w:rsid w:val="6EFE4E26"/>
    <w:rsid w:val="6F085736"/>
    <w:rsid w:val="6F2117DD"/>
    <w:rsid w:val="6F432783"/>
    <w:rsid w:val="6F4E40D0"/>
    <w:rsid w:val="6F6D675F"/>
    <w:rsid w:val="6F8073DD"/>
    <w:rsid w:val="6F811B7C"/>
    <w:rsid w:val="6FBF70AE"/>
    <w:rsid w:val="6FC722F1"/>
    <w:rsid w:val="6FD54E8A"/>
    <w:rsid w:val="6FFE1532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400858"/>
    <w:rsid w:val="71473331"/>
    <w:rsid w:val="71722EBB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C922AA"/>
    <w:rsid w:val="72D9097A"/>
    <w:rsid w:val="73035041"/>
    <w:rsid w:val="73152201"/>
    <w:rsid w:val="731E6237"/>
    <w:rsid w:val="73204B53"/>
    <w:rsid w:val="73401623"/>
    <w:rsid w:val="7353501D"/>
    <w:rsid w:val="73A50FC7"/>
    <w:rsid w:val="73A67144"/>
    <w:rsid w:val="73E111AC"/>
    <w:rsid w:val="740500E7"/>
    <w:rsid w:val="740652E1"/>
    <w:rsid w:val="746E5503"/>
    <w:rsid w:val="74707796"/>
    <w:rsid w:val="747F704E"/>
    <w:rsid w:val="74A71E6F"/>
    <w:rsid w:val="74AA7D6D"/>
    <w:rsid w:val="74B8340E"/>
    <w:rsid w:val="74C2568F"/>
    <w:rsid w:val="74C62724"/>
    <w:rsid w:val="74DB37DF"/>
    <w:rsid w:val="74E16B5E"/>
    <w:rsid w:val="750F7073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9C31E3"/>
    <w:rsid w:val="77A30552"/>
    <w:rsid w:val="77A67608"/>
    <w:rsid w:val="77B17927"/>
    <w:rsid w:val="77D171E5"/>
    <w:rsid w:val="77D82F40"/>
    <w:rsid w:val="77E86AC9"/>
    <w:rsid w:val="781C4802"/>
    <w:rsid w:val="782522D0"/>
    <w:rsid w:val="785328F5"/>
    <w:rsid w:val="7890275A"/>
    <w:rsid w:val="789E52F2"/>
    <w:rsid w:val="78AF66DE"/>
    <w:rsid w:val="78B410F1"/>
    <w:rsid w:val="78C553BF"/>
    <w:rsid w:val="7943492E"/>
    <w:rsid w:val="7945166D"/>
    <w:rsid w:val="79634E1C"/>
    <w:rsid w:val="79D31700"/>
    <w:rsid w:val="79D35ABF"/>
    <w:rsid w:val="79F96584"/>
    <w:rsid w:val="7A073240"/>
    <w:rsid w:val="7A49628A"/>
    <w:rsid w:val="7A5E3C4E"/>
    <w:rsid w:val="7A807C2D"/>
    <w:rsid w:val="7B222A93"/>
    <w:rsid w:val="7B2D0C2A"/>
    <w:rsid w:val="7B5733D6"/>
    <w:rsid w:val="7B6D2748"/>
    <w:rsid w:val="7B762EB2"/>
    <w:rsid w:val="7B8B5A3F"/>
    <w:rsid w:val="7B8D4340"/>
    <w:rsid w:val="7BB019D4"/>
    <w:rsid w:val="7C1B594E"/>
    <w:rsid w:val="7C316041"/>
    <w:rsid w:val="7C3B0FE1"/>
    <w:rsid w:val="7C57508E"/>
    <w:rsid w:val="7C9A1852"/>
    <w:rsid w:val="7CBA7331"/>
    <w:rsid w:val="7CC51BE7"/>
    <w:rsid w:val="7CF11A09"/>
    <w:rsid w:val="7D3A3102"/>
    <w:rsid w:val="7D475874"/>
    <w:rsid w:val="7D574C31"/>
    <w:rsid w:val="7D5826B2"/>
    <w:rsid w:val="7D5F5C08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BC266B"/>
    <w:rsid w:val="7EC37045"/>
    <w:rsid w:val="7EC9380E"/>
    <w:rsid w:val="7EE02872"/>
    <w:rsid w:val="7EEA26AE"/>
    <w:rsid w:val="7EEE62F1"/>
    <w:rsid w:val="7EEF441E"/>
    <w:rsid w:val="7EFD4068"/>
    <w:rsid w:val="7F0171EB"/>
    <w:rsid w:val="7F115287"/>
    <w:rsid w:val="7F14040A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2018-01-19T11:12:10Z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