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80DC2">
      <w:pPr>
        <w:jc w:val="center"/>
      </w:pPr>
      <w:bookmarkStart w:id="0" w:name="_GoBack"/>
      <w:r>
        <w:rPr>
          <w:b/>
          <w:sz w:val="44"/>
        </w:rPr>
        <w:t>第四章 软件和通信协议设计</w:t>
      </w:r>
    </w:p>
    <w:p w14:paraId="1D3578EB"/>
    <w:p w14:paraId="001160F4">
      <w:r>
        <w:rPr>
          <w:b/>
          <w:sz w:val="28"/>
        </w:rPr>
        <w:t>4.1 软件整体架构设计</w:t>
      </w:r>
    </w:p>
    <w:p w14:paraId="5F568B85">
      <w:pPr>
        <w:pStyle w:val="16"/>
      </w:pPr>
      <w:r>
        <w:t>4.1.1 分层架构模型</w:t>
      </w:r>
    </w:p>
    <w:p w14:paraId="6F0AAF1E">
      <w:r>
        <w:t>本系统采用四层分层架构设计，从上到下依次为上位机应用层、通信协议抽象层、驱动层、硬件层，各层之间通过明确定义的接口进行通信，实现了软硬件解耦。</w:t>
      </w:r>
      <w:r>
        <w:br w:type="textWrapping"/>
      </w:r>
      <w:r>
        <w:br w:type="textWrapping"/>
      </w:r>
      <w:r>
        <w:t>上位机应用层由GUI（图形用户界面）和业务逻辑组成，主要职责包括用户交互、寄存器参数管理、批量配置下发和实时数据显示。用户在此层通过GUI界面进行寄存器读写、ISP参数调优等操作。</w:t>
      </w:r>
      <w:r>
        <w:br w:type="textWrapping"/>
      </w:r>
      <w:r>
        <w:br w:type="textWrapping"/>
      </w:r>
      <w:r>
        <w:t>通信协议抽象层在上位机端实现为FpgaProtocol类（main.py，第9行），在下位机端实现为UartProto_*系列函数（main.c，第97～320行）。该层的核心职责是：</w:t>
      </w:r>
      <w:r>
        <w:br w:type="textWrapping"/>
      </w:r>
      <w:r>
        <w:t>• 封装UART帧的打包与解包</w:t>
      </w:r>
      <w:r>
        <w:br w:type="textWrapping"/>
      </w:r>
      <w:r>
        <w:t>• 提供统一的send_command()和recv_frame()接口</w:t>
      </w:r>
      <w:r>
        <w:br w:type="textWrapping"/>
      </w:r>
      <w:r>
        <w:t>• 处理超时、重试、校验等可靠性机制</w:t>
      </w:r>
      <w:r>
        <w:br w:type="textWrapping"/>
      </w:r>
      <w:r>
        <w:t>• 屏蔽不同硬件平台的UART细节</w:t>
      </w:r>
      <w:r>
        <w:br w:type="textWrapping"/>
      </w:r>
      <w:r>
        <w:br w:type="textWrapping"/>
      </w:r>
      <w:r>
        <w:t>驱动层由CSI USART驱动提供（ck_usart.c），包含硬件初始化、非阻塞收发接口等底层操作。</w:t>
      </w:r>
      <w:r>
        <w:br w:type="textWrapping"/>
      </w:r>
      <w:r>
        <w:br w:type="textWrapping"/>
      </w:r>
      <w:r>
        <w:t>硬件层包括UART外设、FPGA互连总线（APB/AHB）和ISP模块寄存器空间。</w:t>
      </w:r>
    </w:p>
    <w:p w14:paraId="12A7C416">
      <w:pPr>
        <w:pStyle w:val="16"/>
      </w:pPr>
      <w:r>
        <w:t>4.1.2 数据流向与同步机制</w:t>
      </w:r>
    </w:p>
    <w:p w14:paraId="5F02F80B">
      <w:r>
        <w:t>系统采用请求-响应（Request-Response）的同步通信模式。数据流向如下：</w:t>
      </w:r>
      <w:r>
        <w:br w:type="textWrapping"/>
      </w:r>
      <w:r>
        <w:br w:type="textWrapping"/>
      </w:r>
      <w:r>
        <w:t>1. 上位机发起请求：GUI层调用FpgaProtocol.send_command(cmd, addr, data)方法</w:t>
      </w:r>
      <w:r>
        <w:br w:type="textWrapping"/>
      </w:r>
      <w:r>
        <w:t>2. 协议层打包：构造12字节的标准帧，计算校验和</w:t>
      </w:r>
      <w:r>
        <w:br w:type="textWrapping"/>
      </w:r>
      <w:r>
        <w:t>3. 驱动层发送：通过UART的非阻塞轮询方式逐字节发送</w:t>
      </w:r>
      <w:r>
        <w:br w:type="textWrapping"/>
      </w:r>
      <w:r>
        <w:t>4. 下位机接收：固件的UartProto_Task()状态机等待并接收完整的帧</w:t>
      </w:r>
      <w:r>
        <w:br w:type="textWrapping"/>
      </w:r>
      <w:r>
        <w:t>5. 命令执行：解析命令码（READ/WRITE/VERSION），执行相应的寄存器操作</w:t>
      </w:r>
      <w:r>
        <w:br w:type="textWrapping"/>
      </w:r>
      <w:r>
        <w:t>6. 下位机回包：将相同格式的响应帧发送回上位机</w:t>
      </w:r>
      <w:r>
        <w:br w:type="textWrapping"/>
      </w:r>
      <w:r>
        <w:t>7. 上位机响应处理：read_frame()验证校验和与帧尾，解析返回数据</w:t>
      </w:r>
      <w:r>
        <w:br w:type="textWrapping"/>
      </w:r>
      <w:r>
        <w:br w:type="textWrapping"/>
      </w:r>
      <w:r>
        <w:t>整个流程在上位机的response_timeout = 5s超时时间内完成（main.py，第11行）。若超时无响应，上位机将抛出超时异常。</w:t>
      </w:r>
    </w:p>
    <w:p w14:paraId="5A561C92">
      <w:pPr>
        <w:pStyle w:val="16"/>
      </w:pPr>
      <w:r>
        <w:t>4.1.3 软硬件协同设计考量</w:t>
      </w:r>
    </w:p>
    <w:p w14:paraId="6D031A3A">
      <w:r>
        <w:t>轮询式设计的优势：系统采用非中断驱动的轮询方式（而非中断驱动），这在嵌入式系统中有明显的优点：</w:t>
      </w:r>
      <w:r>
        <w:br w:type="textWrapping"/>
      </w:r>
      <w:r>
        <w:t>• 避免中断上下文与主程序竞争导致的数据竞争</w:t>
      </w:r>
      <w:r>
        <w:br w:type="textWrapping"/>
      </w:r>
      <w:r>
        <w:t>• 简化代码复杂度，提高可维护性</w:t>
      </w:r>
      <w:r>
        <w:br w:type="textWrapping"/>
      </w:r>
      <w:r>
        <w:t>• 对于确定性通信协议，轮询方式足以满足实时性要求</w:t>
      </w:r>
      <w:r>
        <w:br w:type="textWrapping"/>
      </w:r>
      <w:r>
        <w:br w:type="textWrapping"/>
      </w:r>
      <w:r>
        <w:t>统一的寄存器访问接口：无论上位机发起READ、WRITE还是VERSION查询，下位机都通过REG32宏（main.c，第41行）进行统一的32位读写操作：</w:t>
      </w:r>
      <w:r>
        <w:br w:type="textWrapping"/>
      </w:r>
      <w:r>
        <w:br w:type="textWrapping"/>
      </w:r>
      <w:r>
        <w:t>#define REG32(addr) (*((volatile uint32_t *)(addr)))</w:t>
      </w:r>
      <w:r>
        <w:br w:type="textWrapping"/>
      </w:r>
      <w:r>
        <w:br w:type="textWrapping"/>
      </w:r>
      <w:r>
        <w:t>这保证了对FPGA ISP寄存器的原子性访问。</w:t>
      </w:r>
    </w:p>
    <w:p w14:paraId="7CD2207D">
      <w:r>
        <w:rPr>
          <w:b/>
          <w:sz w:val="28"/>
        </w:rPr>
        <w:t>4.2 串口通信基础与驱动设计</w:t>
      </w:r>
    </w:p>
    <w:p w14:paraId="2F13E62C">
      <w:pPr>
        <w:pStyle w:val="16"/>
      </w:pPr>
      <w:r>
        <w:t>4.2.1 UART通信原理与轮询方式选择</w:t>
      </w:r>
    </w:p>
    <w:p w14:paraId="3C01CF82">
      <w:r>
        <w:t>UART（通用异步收发器）是一种全双工、异步、串行通信接口，通过TX和RX两条线实现数据传输。本系统选择的通信参数如下：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9EAC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3D3D3"/>
          </w:tcPr>
          <w:p w14:paraId="798196FD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  <w:shd w:val="clear" w:color="auto" w:fill="D3D3D3"/>
          </w:tcPr>
          <w:p w14:paraId="729FEA8E">
            <w:pPr>
              <w:spacing w:after="0" w:line="240" w:lineRule="auto"/>
            </w:pPr>
            <w:r>
              <w:rPr>
                <w:b/>
              </w:rPr>
              <w:t>取值</w:t>
            </w:r>
          </w:p>
        </w:tc>
        <w:tc>
          <w:tcPr>
            <w:tcW w:w="2880" w:type="dxa"/>
            <w:shd w:val="clear" w:color="auto" w:fill="D3D3D3"/>
          </w:tcPr>
          <w:p w14:paraId="40F7B3C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CBFE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8C5AE">
            <w:pPr>
              <w:spacing w:after="0" w:line="240" w:lineRule="auto"/>
            </w:pPr>
            <w:r>
              <w:t>波特率</w:t>
            </w:r>
          </w:p>
        </w:tc>
        <w:tc>
          <w:tcPr>
            <w:tcW w:w="2880" w:type="dxa"/>
          </w:tcPr>
          <w:p w14:paraId="20014864">
            <w:pPr>
              <w:spacing w:after="0" w:line="240" w:lineRule="auto"/>
            </w:pPr>
            <w:r>
              <w:t>115200 bps</w:t>
            </w:r>
          </w:p>
        </w:tc>
        <w:tc>
          <w:tcPr>
            <w:tcW w:w="2880" w:type="dxa"/>
          </w:tcPr>
          <w:p w14:paraId="2EE3E756">
            <w:pPr>
              <w:spacing w:after="0" w:line="240" w:lineRule="auto"/>
            </w:pPr>
            <w:r>
              <w:t>标准速率，适合调试与实时应用</w:t>
            </w:r>
          </w:p>
        </w:tc>
      </w:tr>
      <w:tr w14:paraId="1A190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16DA7">
            <w:pPr>
              <w:spacing w:after="0" w:line="240" w:lineRule="auto"/>
            </w:pPr>
            <w:r>
              <w:t>数据位</w:t>
            </w:r>
          </w:p>
        </w:tc>
        <w:tc>
          <w:tcPr>
            <w:tcW w:w="2880" w:type="dxa"/>
          </w:tcPr>
          <w:p w14:paraId="1574E27F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1ED9B91E">
            <w:pPr>
              <w:spacing w:after="0" w:line="240" w:lineRule="auto"/>
            </w:pPr>
            <w:r>
              <w:t>每个字符传输8个数据位</w:t>
            </w:r>
          </w:p>
        </w:tc>
      </w:tr>
      <w:tr w14:paraId="15922C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3CA489">
            <w:pPr>
              <w:spacing w:after="0" w:line="240" w:lineRule="auto"/>
            </w:pPr>
            <w:r>
              <w:t>停止位</w:t>
            </w:r>
          </w:p>
        </w:tc>
        <w:tc>
          <w:tcPr>
            <w:tcW w:w="2880" w:type="dxa"/>
          </w:tcPr>
          <w:p w14:paraId="5CA2DC00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2346E9A8">
            <w:pPr>
              <w:spacing w:after="0" w:line="240" w:lineRule="auto"/>
            </w:pPr>
            <w:r>
              <w:t>单停止位</w:t>
            </w:r>
          </w:p>
        </w:tc>
      </w:tr>
      <w:tr w14:paraId="040CF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CCB9F">
            <w:pPr>
              <w:spacing w:after="0" w:line="240" w:lineRule="auto"/>
            </w:pPr>
            <w:r>
              <w:t>校验位</w:t>
            </w:r>
          </w:p>
        </w:tc>
        <w:tc>
          <w:tcPr>
            <w:tcW w:w="2880" w:type="dxa"/>
          </w:tcPr>
          <w:p w14:paraId="18CDA6A3">
            <w:pPr>
              <w:spacing w:after="0" w:line="240" w:lineRule="auto"/>
            </w:pPr>
            <w:r>
              <w:t>无</w:t>
            </w:r>
          </w:p>
        </w:tc>
        <w:tc>
          <w:tcPr>
            <w:tcW w:w="2880" w:type="dxa"/>
          </w:tcPr>
          <w:p w14:paraId="04E81241">
            <w:pPr>
              <w:spacing w:after="0" w:line="240" w:lineRule="auto"/>
            </w:pPr>
            <w:r>
              <w:t>采用应用层校验和替代</w:t>
            </w:r>
          </w:p>
        </w:tc>
      </w:tr>
      <w:tr w14:paraId="0BD455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603DA">
            <w:pPr>
              <w:spacing w:after="0" w:line="240" w:lineRule="auto"/>
            </w:pPr>
            <w:r>
              <w:t>流控</w:t>
            </w:r>
          </w:p>
        </w:tc>
        <w:tc>
          <w:tcPr>
            <w:tcW w:w="2880" w:type="dxa"/>
          </w:tcPr>
          <w:p w14:paraId="012F3BD3">
            <w:pPr>
              <w:spacing w:after="0" w:line="240" w:lineRule="auto"/>
            </w:pPr>
            <w:r>
              <w:t>无</w:t>
            </w:r>
          </w:p>
        </w:tc>
        <w:tc>
          <w:tcPr>
            <w:tcW w:w="2880" w:type="dxa"/>
          </w:tcPr>
          <w:p w14:paraId="3353828E">
            <w:pPr>
              <w:spacing w:after="0" w:line="240" w:lineRule="auto"/>
            </w:pPr>
            <w:r>
              <w:t>数据帧足够短（12字节），无需硬件流控</w:t>
            </w:r>
          </w:p>
        </w:tc>
      </w:tr>
    </w:tbl>
    <w:p w14:paraId="5124FEF6"/>
    <w:p w14:paraId="4A5A2E9F">
      <w:r>
        <w:t>系统采用非阻塞轮询（Non-blocking Polling）方式而非中断驱动。在UartProto_Init()函数（main.c，第123行）中显式禁用UART中断：</w:t>
      </w:r>
      <w:r>
        <w:br w:type="textWrapping"/>
      </w:r>
      <w:r>
        <w:br w:type="textWrapping"/>
      </w:r>
      <w:r>
        <w:t>csi_usart_set_interrupt(g_uart_protocol_handle, USART_INTR_RDA, 0);</w:t>
      </w:r>
      <w:r>
        <w:br w:type="textWrapping"/>
      </w:r>
      <w:r>
        <w:t>csi_usart_set_interrupt(g_uart_protocol_handle, USART_INTR_THRE, 0);</w:t>
      </w:r>
      <w:r>
        <w:br w:type="textWrapping"/>
      </w:r>
      <w:r>
        <w:br w:type="textWrapping"/>
      </w:r>
      <w:r>
        <w:t>轮询式设计的理由：</w:t>
      </w:r>
      <w:r>
        <w:br w:type="textWrapping"/>
      </w:r>
      <w:r>
        <w:t>• 确定性：轮询的时序在主任务循环中完全可控，不受中断延迟影响</w:t>
      </w:r>
      <w:r>
        <w:br w:type="textWrapping"/>
      </w:r>
      <w:r>
        <w:t>• 简洁性：避免中断上下文的复杂性，减少竞态条件的风险</w:t>
      </w:r>
      <w:r>
        <w:br w:type="textWrapping"/>
      </w:r>
      <w:r>
        <w:t>• 足够的吞吐量：对于12字节的帧，在115200 bps下约120µs即可完成单帧传输，远小于任务周期</w:t>
      </w:r>
      <w:r>
        <w:br w:type="textWrapping"/>
      </w:r>
      <w:r>
        <w:t>• 调试友好：在调试模式下，中断往往被禁用；轮询避免了这种限制</w:t>
      </w:r>
    </w:p>
    <w:p w14:paraId="674233FD">
      <w:pPr>
        <w:pStyle w:val="16"/>
      </w:pPr>
      <w:r>
        <w:t>4.2.2 下位机UART驱动配置</w:t>
      </w:r>
    </w:p>
    <w:p w14:paraId="62443B9A">
      <w:r>
        <w:t>E902处理器的UART外设由ck_usart驱动提供。初始化流程为：</w:t>
      </w:r>
      <w:r>
        <w:br w:type="textWrapping"/>
      </w:r>
      <w:r>
        <w:br w:type="textWrapping"/>
      </w:r>
      <w:r>
        <w:t>1. 驱动句柄获取（main.c，第118行）：</w:t>
      </w:r>
      <w:r>
        <w:br w:type="textWrapping"/>
      </w:r>
      <w:r>
        <w:t>g_uart_protocol_handle = csi_usart_initialize(uart_idx, NULL);</w:t>
      </w:r>
      <w:r>
        <w:br w:type="textWrapping"/>
      </w:r>
      <w:r>
        <w:br w:type="textWrapping"/>
      </w:r>
      <w:r>
        <w:t>2. 波特率与格式配置（main.c，第119行）：</w:t>
      </w:r>
      <w:r>
        <w:br w:type="textWrapping"/>
      </w:r>
      <w:r>
        <w:t xml:space="preserve">csi_usart_config(g_uart_protocol_handle, 115200, </w:t>
      </w:r>
      <w:r>
        <w:br w:type="textWrapping"/>
      </w:r>
      <w:r>
        <w:t xml:space="preserve">                 USART_MODE_ASYNCHRONOUS, </w:t>
      </w:r>
      <w:r>
        <w:br w:type="textWrapping"/>
      </w:r>
      <w:r>
        <w:t xml:space="preserve">                 USART_DATA_BITS_8, </w:t>
      </w:r>
      <w:r>
        <w:br w:type="textWrapping"/>
      </w:r>
      <w:r>
        <w:t xml:space="preserve">                 USART_PARITY_NONE, </w:t>
      </w:r>
      <w:r>
        <w:br w:type="textWrapping"/>
      </w:r>
      <w:r>
        <w:t xml:space="preserve">                 USART_STOP_BITS_1);</w:t>
      </w:r>
      <w:r>
        <w:br w:type="textWrapping"/>
      </w:r>
      <w:r>
        <w:br w:type="textWrapping"/>
      </w:r>
      <w:r>
        <w:t>配置完成后，UART自动进入接收待命状态。</w:t>
      </w:r>
    </w:p>
    <w:p w14:paraId="514E3C9D">
      <w:pPr>
        <w:pStyle w:val="16"/>
      </w:pPr>
      <w:r>
        <w:t>4.2.3 非阻塞收发轮询实现</w:t>
      </w:r>
    </w:p>
    <w:p w14:paraId="19FA990F">
      <w:r>
        <w:t>下位机采用两个核心的轮询接口：</w:t>
      </w:r>
      <w:r>
        <w:br w:type="textWrapping"/>
      </w:r>
      <w:r>
        <w:br w:type="textWrapping"/>
      </w:r>
      <w:r>
        <w:t>接收轮询（对应于ck_usart.c的csi_usart_getchar_nonblocking()）：</w:t>
      </w:r>
      <w:r>
        <w:br w:type="textWrapping"/>
      </w:r>
      <w:r>
        <w:t>static int UartProto_ReceiveByte(uint8_t *byte_out)</w:t>
      </w:r>
      <w:r>
        <w:br w:type="textWrapping"/>
      </w:r>
      <w:r>
        <w:t>{</w:t>
      </w:r>
      <w:r>
        <w:br w:type="textWrapping"/>
      </w:r>
      <w:r>
        <w:t xml:space="preserve">    return csi_usart_getchar_nonblocking(g_uart_protocol_handle, byte_out);</w:t>
      </w:r>
      <w:r>
        <w:br w:type="textWrapping"/>
      </w:r>
      <w:r>
        <w:t xml:space="preserve">    // 返回值：1 表示成功收到一个字节，0 表示无数据可读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该函数检查UART接收寄存器中的数据可用标志（LSR_DATA_READY），若有数据则读取并返回1；否则立即返回0，不阻塞。</w:t>
      </w:r>
      <w:r>
        <w:br w:type="textWrapping"/>
      </w:r>
      <w:r>
        <w:br w:type="textWrapping"/>
      </w:r>
      <w:r>
        <w:t>发送轮询（对应于ck_usart.c的csi_usart_putchar()）：</w:t>
      </w:r>
      <w:r>
        <w:br w:type="textWrapping"/>
      </w:r>
      <w:r>
        <w:t>static int UartProto_SendBuf(const uint8_t *buf, int len)</w:t>
      </w:r>
      <w:r>
        <w:br w:type="textWrapping"/>
      </w:r>
      <w:r>
        <w:t>{</w:t>
      </w:r>
      <w:r>
        <w:br w:type="textWrapping"/>
      </w:r>
      <w:r>
        <w:t xml:space="preserve">    for (int i = 0; i &lt; len; i++) {</w:t>
      </w:r>
      <w:r>
        <w:br w:type="textWrapping"/>
      </w:r>
      <w:r>
        <w:t xml:space="preserve">        csi_usart_putchar(g_uart_protocol_handle, buf[i]);</w:t>
      </w:r>
      <w:r>
        <w:br w:type="textWrapping"/>
      </w:r>
      <w:r>
        <w:t xml:space="preserve">    }</w:t>
      </w:r>
      <w:r>
        <w:br w:type="textWrapping"/>
      </w:r>
      <w:r>
        <w:t xml:space="preserve">    return len;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发送时逐字节写入，每个字节写入后需检查发送寄存器准备就绪标志（LSR_THR_EMPTY）。</w:t>
      </w:r>
    </w:p>
    <w:p w14:paraId="1613AEBF">
      <w:pPr>
        <w:pStyle w:val="16"/>
      </w:pPr>
      <w:r>
        <w:t>4.2.4 上位机串口配置与超时机制</w:t>
      </w:r>
    </w:p>
    <w:p w14:paraId="467274EF">
      <w:r>
        <w:t>上位机使用Python的serial库（pySerial），在FpgaProtocol.__init__()中初始化（main.py，第10～14行）：</w:t>
      </w:r>
      <w:r>
        <w:br w:type="textWrapping"/>
      </w:r>
      <w:r>
        <w:br w:type="textWrapping"/>
      </w:r>
      <w:r>
        <w:t>def __init__(self, port, baudrate=115200, timeout=1):</w:t>
      </w:r>
      <w:r>
        <w:br w:type="textWrapping"/>
      </w:r>
      <w:r>
        <w:t xml:space="preserve">    self.ser = serial.Serial(port, baudrate, timeout=timeout)</w:t>
      </w:r>
      <w:r>
        <w:br w:type="textWrapping"/>
      </w:r>
      <w:r>
        <w:t xml:space="preserve">    self.header = 0x02</w:t>
      </w:r>
      <w:r>
        <w:br w:type="textWrapping"/>
      </w:r>
      <w:r>
        <w:t xml:space="preserve">    self.tail = 0x03</w:t>
      </w:r>
      <w:r>
        <w:br w:type="textWrapping"/>
      </w:r>
      <w:r>
        <w:br w:type="textWrapping"/>
      </w:r>
      <w:r>
        <w:t>关键配置参数说明：</w:t>
      </w:r>
      <w:r>
        <w:br w:type="textWrapping"/>
      </w:r>
      <w:r>
        <w:t>• timeout=1：单个字节的读取超时为1秒（适用于read()方法）</w:t>
      </w:r>
      <w:r>
        <w:br w:type="textWrapping"/>
      </w:r>
      <w:r>
        <w:t>• response_timeout=5：完整响应帧的超时为5秒（main.py，第11行）</w:t>
      </w:r>
      <w:r>
        <w:br w:type="textWrapping"/>
      </w:r>
      <w:r>
        <w:br w:type="textWrapping"/>
      </w:r>
      <w:r>
        <w:t>在send_command()中，发送前清空接收缓冲区（main.py，第35行），消除旧数据影响：</w:t>
      </w:r>
      <w:r>
        <w:br w:type="textWrapping"/>
      </w:r>
      <w:r>
        <w:t>self.ser.reset_input_buffer()  # 清除可能的旧响应</w:t>
      </w:r>
      <w:r>
        <w:br w:type="textWrapping"/>
      </w:r>
      <w:r>
        <w:t>frame = self.pack_frame(cmd, addr, data)</w:t>
      </w:r>
      <w:r>
        <w:br w:type="textWrapping"/>
      </w:r>
      <w:r>
        <w:t>self.ser.write(frame)  # 发送12字节帧</w:t>
      </w:r>
    </w:p>
    <w:p w14:paraId="4609DD50">
      <w:r>
        <w:rPr>
          <w:b/>
          <w:sz w:val="28"/>
        </w:rPr>
        <w:t>4.3 串口通信抽象层设计</w:t>
      </w:r>
    </w:p>
    <w:p w14:paraId="3031336E">
      <w:pPr>
        <w:pStyle w:val="16"/>
      </w:pPr>
      <w:r>
        <w:t>4.3.1 抽象层的设计目标</w:t>
      </w:r>
    </w:p>
    <w:p w14:paraId="1649DEC8">
      <w:r>
        <w:t>通信抽象层的设计目的是：</w:t>
      </w:r>
      <w:r>
        <w:br w:type="textWrapping"/>
      </w:r>
      <w:r>
        <w:br w:type="textWrapping"/>
      </w:r>
      <w:r>
        <w:t>1. 硬件独立性：上层应用无需关心UART外设的具体细节（如寄存器地址、中断控制）</w:t>
      </w:r>
      <w:r>
        <w:br w:type="textWrapping"/>
      </w:r>
      <w:r>
        <w:t>2. 接口统一性：为上位机和下位机提供一致的帧收发接口，隐藏底层的打包解包复杂度</w:t>
      </w:r>
      <w:r>
        <w:br w:type="textWrapping"/>
      </w:r>
      <w:r>
        <w:t>3. 可靠性保证：在抽象层实现超时、校验、重试等机制，提高通信的容错能力</w:t>
      </w:r>
      <w:r>
        <w:br w:type="textWrapping"/>
      </w:r>
      <w:r>
        <w:t>4. 扩展性：协议格式和命令集的修改仅需在抽象层进行，无需改动应用层代码</w:t>
      </w:r>
    </w:p>
    <w:p w14:paraId="41D781DE">
      <w:pPr>
        <w:pStyle w:val="16"/>
      </w:pPr>
      <w:r>
        <w:t>4.3.2 上位机抽象接口</w:t>
      </w:r>
    </w:p>
    <w:p w14:paraId="3D6A33D8">
      <w:r>
        <w:t>上位机的FpgaProtocol类对外暴露的主要接口为：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2880"/>
        <w:gridCol w:w="2880"/>
      </w:tblGrid>
      <w:tr w14:paraId="6FCFC2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3D3D3"/>
          </w:tcPr>
          <w:p w14:paraId="415017A1">
            <w:pPr>
              <w:spacing w:after="0" w:line="240" w:lineRule="auto"/>
            </w:pPr>
            <w:r>
              <w:rPr>
                <w:b/>
              </w:rPr>
              <w:t>方法名</w:t>
            </w:r>
          </w:p>
        </w:tc>
        <w:tc>
          <w:tcPr>
            <w:tcW w:w="2880" w:type="dxa"/>
            <w:shd w:val="clear" w:color="auto" w:fill="D3D3D3"/>
          </w:tcPr>
          <w:p w14:paraId="5D629BB6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  <w:shd w:val="clear" w:color="auto" w:fill="D3D3D3"/>
          </w:tcPr>
          <w:p w14:paraId="48EC7389">
            <w:pPr>
              <w:spacing w:after="0" w:line="240" w:lineRule="auto"/>
            </w:pPr>
            <w:r>
              <w:rPr>
                <w:b/>
              </w:rPr>
              <w:t>返回值</w:t>
            </w:r>
          </w:p>
        </w:tc>
      </w:tr>
      <w:tr w14:paraId="02B940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AB24C">
            <w:pPr>
              <w:spacing w:after="0" w:line="240" w:lineRule="auto"/>
            </w:pPr>
            <w:r>
              <w:t>send_command(cmd, addr, data=0)</w:t>
            </w:r>
          </w:p>
        </w:tc>
        <w:tc>
          <w:tcPr>
            <w:tcW w:w="2880" w:type="dxa"/>
          </w:tcPr>
          <w:p w14:paraId="31C53960">
            <w:pPr>
              <w:spacing w:after="0" w:line="240" w:lineRule="auto"/>
            </w:pPr>
            <w:r>
              <w:t>发送单个指令并等待回包</w:t>
            </w:r>
          </w:p>
        </w:tc>
        <w:tc>
          <w:tcPr>
            <w:tcW w:w="2880" w:type="dxa"/>
          </w:tcPr>
          <w:p w14:paraId="76EDAADE">
            <w:pPr>
              <w:spacing w:after="0" w:line="240" w:lineRule="auto"/>
            </w:pPr>
            <w:r>
              <w:t>dict或错误字符串</w:t>
            </w:r>
          </w:p>
        </w:tc>
      </w:tr>
      <w:tr w14:paraId="359762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637CE1">
            <w:pPr>
              <w:spacing w:after="0" w:line="240" w:lineRule="auto"/>
            </w:pPr>
            <w:r>
              <w:t>read_frame(timeout)</w:t>
            </w:r>
          </w:p>
        </w:tc>
        <w:tc>
          <w:tcPr>
            <w:tcW w:w="2880" w:type="dxa"/>
          </w:tcPr>
          <w:p w14:paraId="0A069AE9">
            <w:pPr>
              <w:spacing w:after="0" w:line="240" w:lineRule="auto"/>
            </w:pPr>
            <w:r>
              <w:t>从串口读取一个完整的12字节帧</w:t>
            </w:r>
          </w:p>
        </w:tc>
        <w:tc>
          <w:tcPr>
            <w:tcW w:w="2880" w:type="dxa"/>
          </w:tcPr>
          <w:p w14:paraId="48DCD2C7">
            <w:pPr>
              <w:spacing w:after="0" w:line="240" w:lineRule="auto"/>
            </w:pPr>
            <w:r>
              <w:t>bytes或None</w:t>
            </w:r>
          </w:p>
        </w:tc>
      </w:tr>
      <w:tr w14:paraId="34EC79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CF0897">
            <w:pPr>
              <w:spacing w:after="0" w:line="240" w:lineRule="auto"/>
            </w:pPr>
            <w:r>
              <w:t>pack_frame(cmd, addr, data)</w:t>
            </w:r>
          </w:p>
        </w:tc>
        <w:tc>
          <w:tcPr>
            <w:tcW w:w="2880" w:type="dxa"/>
          </w:tcPr>
          <w:p w14:paraId="4A9B69D7">
            <w:pPr>
              <w:spacing w:after="0" w:line="240" w:lineRule="auto"/>
            </w:pPr>
            <w:r>
              <w:t>将指令参数打包成帧</w:t>
            </w:r>
          </w:p>
        </w:tc>
        <w:tc>
          <w:tcPr>
            <w:tcW w:w="2880" w:type="dxa"/>
          </w:tcPr>
          <w:p w14:paraId="0F6E51C8">
            <w:pPr>
              <w:spacing w:after="0" w:line="240" w:lineRule="auto"/>
            </w:pPr>
            <w:r>
              <w:t>bytes（12字节）</w:t>
            </w:r>
          </w:p>
        </w:tc>
      </w:tr>
      <w:tr w14:paraId="6879D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401460">
            <w:pPr>
              <w:spacing w:after="0" w:line="240" w:lineRule="auto"/>
            </w:pPr>
            <w:r>
              <w:t>query_firmware_version()</w:t>
            </w:r>
          </w:p>
        </w:tc>
        <w:tc>
          <w:tcPr>
            <w:tcW w:w="2880" w:type="dxa"/>
          </w:tcPr>
          <w:p w14:paraId="69B420C0">
            <w:pPr>
              <w:spacing w:after="0" w:line="240" w:lineRule="auto"/>
            </w:pPr>
            <w:r>
              <w:t>查询固件版本</w:t>
            </w:r>
          </w:p>
        </w:tc>
        <w:tc>
          <w:tcPr>
            <w:tcW w:w="2880" w:type="dxa"/>
          </w:tcPr>
          <w:p w14:paraId="5D7A613C">
            <w:pPr>
              <w:spacing w:after="0" w:line="240" w:lineRule="auto"/>
            </w:pPr>
            <w:r>
              <w:t>(major, minor, patch) 元组</w:t>
            </w:r>
          </w:p>
        </w:tc>
      </w:tr>
    </w:tbl>
    <w:p w14:paraId="73CFCD01"/>
    <w:p w14:paraId="3C11CA04">
      <w:pPr>
        <w:pStyle w:val="16"/>
      </w:pPr>
      <w:r>
        <w:t>4.3.3 下位机抽象接口</w:t>
      </w:r>
    </w:p>
    <w:p w14:paraId="642C128C">
      <w:r>
        <w:t>下位机的UartProto_*函数族定义了对应的接口（main.c，第97～145行）：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2520"/>
        <w:gridCol w:w="2520"/>
      </w:tblGrid>
      <w:tr w14:paraId="65CEBA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3D3D3"/>
          </w:tcPr>
          <w:p w14:paraId="0DF55879">
            <w:pPr>
              <w:spacing w:after="0" w:line="240" w:lineRule="auto"/>
            </w:pPr>
            <w:r>
              <w:rPr>
                <w:b/>
              </w:rPr>
              <w:t>函数</w:t>
            </w:r>
          </w:p>
        </w:tc>
        <w:tc>
          <w:tcPr>
            <w:tcW w:w="2880" w:type="dxa"/>
            <w:shd w:val="clear" w:color="auto" w:fill="D3D3D3"/>
          </w:tcPr>
          <w:p w14:paraId="09C85DB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  <w:shd w:val="clear" w:color="auto" w:fill="D3D3D3"/>
          </w:tcPr>
          <w:p w14:paraId="060E9A2E">
            <w:pPr>
              <w:spacing w:after="0" w:line="240" w:lineRule="auto"/>
            </w:pPr>
            <w:r>
              <w:rPr>
                <w:b/>
              </w:rPr>
              <w:t>返回值</w:t>
            </w:r>
          </w:p>
        </w:tc>
      </w:tr>
      <w:tr w14:paraId="6B0DB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55416">
            <w:pPr>
              <w:spacing w:after="0" w:line="240" w:lineRule="auto"/>
            </w:pPr>
            <w:r>
              <w:t>UartProto_Init()</w:t>
            </w:r>
          </w:p>
        </w:tc>
        <w:tc>
          <w:tcPr>
            <w:tcW w:w="2880" w:type="dxa"/>
          </w:tcPr>
          <w:p w14:paraId="0763EFB5">
            <w:pPr>
              <w:spacing w:after="0" w:line="240" w:lineRule="auto"/>
            </w:pPr>
            <w:r>
              <w:t>初始化UART外设与相关资源</w:t>
            </w:r>
          </w:p>
        </w:tc>
        <w:tc>
          <w:tcPr>
            <w:tcW w:w="2880" w:type="dxa"/>
          </w:tcPr>
          <w:p w14:paraId="705C50E8">
            <w:pPr>
              <w:spacing w:after="0" w:line="240" w:lineRule="auto"/>
            </w:pPr>
            <w:r>
              <w:t>0（成功）或错误码</w:t>
            </w:r>
          </w:p>
        </w:tc>
      </w:tr>
      <w:tr w14:paraId="7E796A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E53077">
            <w:pPr>
              <w:spacing w:after="0" w:line="240" w:lineRule="auto"/>
            </w:pPr>
            <w:r>
              <w:t>UartProto_Task()</w:t>
            </w:r>
          </w:p>
        </w:tc>
        <w:tc>
          <w:tcPr>
            <w:tcW w:w="2880" w:type="dxa"/>
          </w:tcPr>
          <w:p w14:paraId="19987558">
            <w:pPr>
              <w:spacing w:after="0" w:line="240" w:lineRule="auto"/>
            </w:pPr>
            <w:r>
              <w:t>执行一次状态机迭代</w:t>
            </w:r>
          </w:p>
        </w:tc>
        <w:tc>
          <w:tcPr>
            <w:tcW w:w="2880" w:type="dxa"/>
          </w:tcPr>
          <w:p w14:paraId="060B3A8C">
            <w:pPr>
              <w:spacing w:after="0" w:line="240" w:lineRule="auto"/>
            </w:pPr>
            <w:r>
              <w:t>无</w:t>
            </w:r>
          </w:p>
        </w:tc>
      </w:tr>
      <w:tr w14:paraId="5E54F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15D07">
            <w:pPr>
              <w:spacing w:after="0" w:line="240" w:lineRule="auto"/>
            </w:pPr>
            <w:r>
              <w:t>UartProto_ReceiveByte()</w:t>
            </w:r>
          </w:p>
        </w:tc>
        <w:tc>
          <w:tcPr>
            <w:tcW w:w="2880" w:type="dxa"/>
          </w:tcPr>
          <w:p w14:paraId="24E88934">
            <w:pPr>
              <w:spacing w:after="0" w:line="240" w:lineRule="auto"/>
            </w:pPr>
            <w:r>
              <w:t>尝试从UART接收一个字节</w:t>
            </w:r>
          </w:p>
        </w:tc>
        <w:tc>
          <w:tcPr>
            <w:tcW w:w="2880" w:type="dxa"/>
          </w:tcPr>
          <w:p w14:paraId="0FE23BA4">
            <w:pPr>
              <w:spacing w:after="0" w:line="240" w:lineRule="auto"/>
            </w:pPr>
            <w:r>
              <w:t>1（成功）或0（无数据）</w:t>
            </w:r>
          </w:p>
        </w:tc>
      </w:tr>
      <w:tr w14:paraId="665364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4F9CD">
            <w:pPr>
              <w:spacing w:after="0" w:line="240" w:lineRule="auto"/>
            </w:pPr>
            <w:r>
              <w:t>UartProto_SendBuf()</w:t>
            </w:r>
          </w:p>
        </w:tc>
        <w:tc>
          <w:tcPr>
            <w:tcW w:w="2880" w:type="dxa"/>
          </w:tcPr>
          <w:p w14:paraId="2A5A6ECB">
            <w:pPr>
              <w:spacing w:after="0" w:line="240" w:lineRule="auto"/>
            </w:pPr>
            <w:r>
              <w:t>发送完整的数据缓冲区</w:t>
            </w:r>
          </w:p>
        </w:tc>
        <w:tc>
          <w:tcPr>
            <w:tcW w:w="2880" w:type="dxa"/>
          </w:tcPr>
          <w:p w14:paraId="417A2377">
            <w:pPr>
              <w:spacing w:after="0" w:line="240" w:lineRule="auto"/>
            </w:pPr>
            <w:r>
              <w:t>发送的字节数</w:t>
            </w:r>
          </w:p>
        </w:tc>
      </w:tr>
      <w:tr w14:paraId="6C689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64F59">
            <w:pPr>
              <w:spacing w:after="0" w:line="240" w:lineRule="auto"/>
            </w:pPr>
            <w:r>
              <w:t>UartProto_ReadReg()/WriteReg()</w:t>
            </w:r>
          </w:p>
        </w:tc>
        <w:tc>
          <w:tcPr>
            <w:tcW w:w="2880" w:type="dxa"/>
          </w:tcPr>
          <w:p w14:paraId="1B4B46DA">
            <w:pPr>
              <w:spacing w:after="0" w:line="240" w:lineRule="auto"/>
            </w:pPr>
            <w:r>
              <w:t>对FPGA寄存器的读写</w:t>
            </w:r>
          </w:p>
        </w:tc>
        <w:tc>
          <w:tcPr>
            <w:tcW w:w="2880" w:type="dxa"/>
          </w:tcPr>
          <w:p w14:paraId="15158795">
            <w:pPr>
              <w:spacing w:after="0" w:line="240" w:lineRule="auto"/>
            </w:pPr>
            <w:r>
              <w:t>读出的32位数据</w:t>
            </w:r>
          </w:p>
        </w:tc>
      </w:tr>
      <w:tr w14:paraId="33A85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5AABD3">
            <w:pPr>
              <w:spacing w:after="0" w:line="240" w:lineRule="auto"/>
            </w:pPr>
            <w:r>
              <w:t>UartProto_Checksum()</w:t>
            </w:r>
          </w:p>
        </w:tc>
        <w:tc>
          <w:tcPr>
            <w:tcW w:w="2880" w:type="dxa"/>
          </w:tcPr>
          <w:p w14:paraId="15A08478">
            <w:pPr>
              <w:spacing w:after="0" w:line="240" w:lineRule="auto"/>
            </w:pPr>
            <w:r>
              <w:t>计算校验和</w:t>
            </w:r>
          </w:p>
        </w:tc>
        <w:tc>
          <w:tcPr>
            <w:tcW w:w="2880" w:type="dxa"/>
          </w:tcPr>
          <w:p w14:paraId="49B7DFC5">
            <w:pPr>
              <w:spacing w:after="0" w:line="240" w:lineRule="auto"/>
            </w:pPr>
            <w:r>
              <w:t>校验和（8位）</w:t>
            </w:r>
          </w:p>
        </w:tc>
      </w:tr>
    </w:tbl>
    <w:p w14:paraId="0FC8EB56"/>
    <w:p w14:paraId="2D94ABB0">
      <w:pPr>
        <w:pStyle w:val="16"/>
      </w:pPr>
      <w:r>
        <w:t>4.3.4 缓冲策略与超时重传</w:t>
      </w:r>
    </w:p>
    <w:p w14:paraId="67214803">
      <w:r>
        <w:t>接收缓冲：下位机使用静态全局缓冲区（main.c，第199～201行）：</w:t>
      </w:r>
      <w:r>
        <w:br w:type="textWrapping"/>
      </w:r>
      <w:r>
        <w:t>static uint8_t rb[RECV_BUFFER_SIZE];  // 接收缓冲，大小32字节</w:t>
      </w:r>
      <w:r>
        <w:br w:type="textWrapping"/>
      </w:r>
      <w:r>
        <w:br w:type="textWrapping"/>
      </w:r>
      <w:r>
        <w:t>FRAME_LENGTH定义为12字节，缓冲足以容纳单帧，同时预留空间用于同步恢复。</w:t>
      </w:r>
      <w:r>
        <w:br w:type="textWrapping"/>
      </w:r>
      <w:r>
        <w:br w:type="textWrapping"/>
      </w:r>
      <w:r>
        <w:t>发送缓冲：使用堆栈缓冲区sb（main.c，第201行），在状态40（命令执行）中动态构造响应帧。</w:t>
      </w:r>
      <w:r>
        <w:br w:type="textWrapping"/>
      </w:r>
      <w:r>
        <w:br w:type="textWrapping"/>
      </w:r>
      <w:r>
        <w:t>超时机制：</w:t>
      </w:r>
      <w:r>
        <w:br w:type="textWrapping"/>
      </w:r>
      <w:r>
        <w:t>• 下位机在状态10（接收中间10字节）中使用timeout_cnt计数器（main.c，第210～214行）</w:t>
      </w:r>
      <w:r>
        <w:br w:type="textWrapping"/>
      </w:r>
      <w:r>
        <w:t>• 超时阈值定义为TIMEOUT_THRESHOLD = 10000，对应于约100ms的等待时间</w:t>
      </w:r>
      <w:r>
        <w:br w:type="textWrapping"/>
      </w:r>
      <w:r>
        <w:t>• 上位机在read_frame()中采用基于时间的超时，在规定的response_timeout秒内逐字节读取</w:t>
      </w:r>
      <w:r>
        <w:br w:type="textWrapping"/>
      </w:r>
      <w:r>
        <w:br w:type="textWrapping"/>
      </w:r>
      <w:r>
        <w:t>重传策略：当前实现在上位机层简化处理——若send_command()超时，上层应用（GUI）可选择重新发送。下位机在帧接收失败（校验错或超时）时无条件复位至状态0，等待下一个新帧的到来。</w:t>
      </w:r>
    </w:p>
    <w:p w14:paraId="20D08747">
      <w:r>
        <w:rPr>
          <w:b/>
          <w:sz w:val="28"/>
        </w:rPr>
        <w:t>4.4 UART通信协议设计</w:t>
      </w:r>
    </w:p>
    <w:p w14:paraId="23107524">
      <w:pPr>
        <w:pStyle w:val="16"/>
      </w:pPr>
      <w:r>
        <w:t>4.4.1 协议设计原则</w:t>
      </w:r>
    </w:p>
    <w:p w14:paraId="5732E5ED">
      <w:r>
        <w:t>本项目设计的私有UART协议遵循以下原则：</w:t>
      </w:r>
      <w:r>
        <w:br w:type="textWrapping"/>
      </w:r>
      <w:r>
        <w:br w:type="textWrapping"/>
      </w:r>
      <w:r>
        <w:t>1. 简洁性：固定12字节帧长，便于解析和实现</w:t>
      </w:r>
      <w:r>
        <w:br w:type="textWrapping"/>
      </w:r>
      <w:r>
        <w:t>2. 可靠性：包含帧头、帧尾、校验和，能检测传输错误</w:t>
      </w:r>
      <w:r>
        <w:br w:type="textWrapping"/>
      </w:r>
      <w:r>
        <w:t>3. 扩展性：命令码字段可容纳更多指令，地址和数据字段支持32位操作数</w:t>
      </w:r>
      <w:r>
        <w:br w:type="textWrapping"/>
      </w:r>
      <w:r>
        <w:t>4. 对称性：请求帧与响应帧采用相同结构，便于双向通信实现</w:t>
      </w:r>
    </w:p>
    <w:p w14:paraId="0ABF8310">
      <w:pPr>
        <w:pStyle w:val="16"/>
      </w:pPr>
      <w:r>
        <w:t>4.4.2 通信帧结构定义</w:t>
      </w:r>
    </w:p>
    <w:p w14:paraId="1D302913">
      <w:r>
        <w:t>标准帧为12字节固定格式，结构如下表所示：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AAD8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3D3"/>
          </w:tcPr>
          <w:p w14:paraId="7DC902FE">
            <w:pPr>
              <w:spacing w:after="0" w:line="240" w:lineRule="auto"/>
            </w:pPr>
            <w:r>
              <w:rPr>
                <w:b/>
              </w:rPr>
              <w:t>字节序号</w:t>
            </w:r>
          </w:p>
        </w:tc>
        <w:tc>
          <w:tcPr>
            <w:tcW w:w="2160" w:type="dxa"/>
            <w:shd w:val="clear" w:color="auto" w:fill="D3D3D3"/>
          </w:tcPr>
          <w:p w14:paraId="70D924FB">
            <w:pPr>
              <w:spacing w:after="0" w:line="240" w:lineRule="auto"/>
            </w:pPr>
            <w:r>
              <w:rPr>
                <w:b/>
              </w:rPr>
              <w:t>字节名</w:t>
            </w:r>
          </w:p>
        </w:tc>
        <w:tc>
          <w:tcPr>
            <w:tcW w:w="2160" w:type="dxa"/>
            <w:shd w:val="clear" w:color="auto" w:fill="D3D3D3"/>
          </w:tcPr>
          <w:p w14:paraId="593E2FF4">
            <w:pPr>
              <w:spacing w:after="0" w:line="240" w:lineRule="auto"/>
            </w:pPr>
            <w:r>
              <w:rPr>
                <w:b/>
              </w:rPr>
              <w:t>取值范围</w:t>
            </w:r>
          </w:p>
        </w:tc>
        <w:tc>
          <w:tcPr>
            <w:tcW w:w="2160" w:type="dxa"/>
            <w:shd w:val="clear" w:color="auto" w:fill="D3D3D3"/>
          </w:tcPr>
          <w:p w14:paraId="77617CB2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</w:tr>
      <w:tr w14:paraId="3443D4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4E9276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D7558AE">
            <w:pPr>
              <w:spacing w:after="0" w:line="240" w:lineRule="auto"/>
            </w:pPr>
            <w:r>
              <w:t>帧头</w:t>
            </w:r>
          </w:p>
        </w:tc>
        <w:tc>
          <w:tcPr>
            <w:tcW w:w="2160" w:type="dxa"/>
          </w:tcPr>
          <w:p w14:paraId="7F52E728">
            <w:pPr>
              <w:spacing w:after="0" w:line="240" w:lineRule="auto"/>
            </w:pPr>
            <w:r>
              <w:t>0x02</w:t>
            </w:r>
          </w:p>
        </w:tc>
        <w:tc>
          <w:tcPr>
            <w:tcW w:w="2160" w:type="dxa"/>
          </w:tcPr>
          <w:p w14:paraId="566FB275">
            <w:pPr>
              <w:spacing w:after="0" w:line="240" w:lineRule="auto"/>
            </w:pPr>
            <w:r>
              <w:t>STX（Start of Text），帧同步标识</w:t>
            </w:r>
          </w:p>
        </w:tc>
      </w:tr>
      <w:tr w14:paraId="4A012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C53B3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A0EEDA2">
            <w:pPr>
              <w:spacing w:after="0" w:line="240" w:lineRule="auto"/>
            </w:pPr>
            <w:r>
              <w:t>命令码</w:t>
            </w:r>
          </w:p>
        </w:tc>
        <w:tc>
          <w:tcPr>
            <w:tcW w:w="2160" w:type="dxa"/>
          </w:tcPr>
          <w:p w14:paraId="3AF587D5">
            <w:pPr>
              <w:spacing w:after="0" w:line="240" w:lineRule="auto"/>
            </w:pPr>
            <w:r>
              <w:t>0x52/0x57/0x56</w:t>
            </w:r>
          </w:p>
        </w:tc>
        <w:tc>
          <w:tcPr>
            <w:tcW w:w="2160" w:type="dxa"/>
          </w:tcPr>
          <w:p w14:paraId="7FB0431B">
            <w:pPr>
              <w:spacing w:after="0" w:line="240" w:lineRule="auto"/>
            </w:pPr>
            <w:r>
              <w:t>0x52=READ，0x57=WRITE，0x56=VERSION</w:t>
            </w:r>
          </w:p>
        </w:tc>
      </w:tr>
      <w:tr w14:paraId="2C659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D32BC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186D2C7">
            <w:pPr>
              <w:spacing w:after="0" w:line="240" w:lineRule="auto"/>
            </w:pPr>
            <w:r>
              <w:t>地址[31:24]</w:t>
            </w:r>
          </w:p>
        </w:tc>
        <w:tc>
          <w:tcPr>
            <w:tcW w:w="2160" w:type="dxa"/>
          </w:tcPr>
          <w:p w14:paraId="110C7EF6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3BEC3090">
            <w:pPr>
              <w:spacing w:after="0" w:line="240" w:lineRule="auto"/>
            </w:pPr>
            <w:r>
              <w:t>FPGA寄存器地址（32位）高字节</w:t>
            </w:r>
          </w:p>
        </w:tc>
      </w:tr>
      <w:tr w14:paraId="4FE398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1887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3496AAC">
            <w:pPr>
              <w:spacing w:after="0" w:line="240" w:lineRule="auto"/>
            </w:pPr>
            <w:r>
              <w:t>地址[23:16]</w:t>
            </w:r>
          </w:p>
        </w:tc>
        <w:tc>
          <w:tcPr>
            <w:tcW w:w="2160" w:type="dxa"/>
          </w:tcPr>
          <w:p w14:paraId="0977FE68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2ECDCD5F">
            <w:pPr>
              <w:spacing w:after="0" w:line="240" w:lineRule="auto"/>
            </w:pPr>
            <w:r>
              <w:t>地址第二字节</w:t>
            </w:r>
          </w:p>
        </w:tc>
      </w:tr>
      <w:tr w14:paraId="6A298A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5DC1A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074A277">
            <w:pPr>
              <w:spacing w:after="0" w:line="240" w:lineRule="auto"/>
            </w:pPr>
            <w:r>
              <w:t>地址[15:8]</w:t>
            </w:r>
          </w:p>
        </w:tc>
        <w:tc>
          <w:tcPr>
            <w:tcW w:w="2160" w:type="dxa"/>
          </w:tcPr>
          <w:p w14:paraId="36583467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2D8A82D1">
            <w:pPr>
              <w:spacing w:after="0" w:line="240" w:lineRule="auto"/>
            </w:pPr>
            <w:r>
              <w:t>地址第三字节</w:t>
            </w:r>
          </w:p>
        </w:tc>
      </w:tr>
      <w:tr w14:paraId="28C27B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8AF33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FBB0F15">
            <w:pPr>
              <w:spacing w:after="0" w:line="240" w:lineRule="auto"/>
            </w:pPr>
            <w:r>
              <w:t>地址[7:0]</w:t>
            </w:r>
          </w:p>
        </w:tc>
        <w:tc>
          <w:tcPr>
            <w:tcW w:w="2160" w:type="dxa"/>
          </w:tcPr>
          <w:p w14:paraId="29B88E85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2144588A">
            <w:pPr>
              <w:spacing w:after="0" w:line="240" w:lineRule="auto"/>
            </w:pPr>
            <w:r>
              <w:t>地址最低字节</w:t>
            </w:r>
          </w:p>
        </w:tc>
      </w:tr>
      <w:tr w14:paraId="3FD1E6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48EB4C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37012E6">
            <w:pPr>
              <w:spacing w:after="0" w:line="240" w:lineRule="auto"/>
            </w:pPr>
            <w:r>
              <w:t>数据[31:24]</w:t>
            </w:r>
          </w:p>
        </w:tc>
        <w:tc>
          <w:tcPr>
            <w:tcW w:w="2160" w:type="dxa"/>
          </w:tcPr>
          <w:p w14:paraId="6C0CC3B7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293225BF">
            <w:pPr>
              <w:spacing w:after="0" w:line="240" w:lineRule="auto"/>
            </w:pPr>
            <w:r>
              <w:t>数据域（32位）高字节</w:t>
            </w:r>
          </w:p>
        </w:tc>
      </w:tr>
      <w:tr w14:paraId="47D7C5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0A8F8E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36870349">
            <w:pPr>
              <w:spacing w:after="0" w:line="240" w:lineRule="auto"/>
            </w:pPr>
            <w:r>
              <w:t>数据[23:16]</w:t>
            </w:r>
          </w:p>
        </w:tc>
        <w:tc>
          <w:tcPr>
            <w:tcW w:w="2160" w:type="dxa"/>
          </w:tcPr>
          <w:p w14:paraId="65FAE64A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6CE7B051">
            <w:pPr>
              <w:spacing w:after="0" w:line="240" w:lineRule="auto"/>
            </w:pPr>
            <w:r>
              <w:t>数据第二字节</w:t>
            </w:r>
          </w:p>
        </w:tc>
      </w:tr>
      <w:tr w14:paraId="0D296F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7667BB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06B7F76">
            <w:pPr>
              <w:spacing w:after="0" w:line="240" w:lineRule="auto"/>
            </w:pPr>
            <w:r>
              <w:t>数据[15:8]</w:t>
            </w:r>
          </w:p>
        </w:tc>
        <w:tc>
          <w:tcPr>
            <w:tcW w:w="2160" w:type="dxa"/>
          </w:tcPr>
          <w:p w14:paraId="11357578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1CF10F7E">
            <w:pPr>
              <w:spacing w:after="0" w:line="240" w:lineRule="auto"/>
            </w:pPr>
            <w:r>
              <w:t>数据第三字节</w:t>
            </w:r>
          </w:p>
        </w:tc>
      </w:tr>
      <w:tr w14:paraId="3EDC6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8A7822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528CCEDE">
            <w:pPr>
              <w:spacing w:after="0" w:line="240" w:lineRule="auto"/>
            </w:pPr>
            <w:r>
              <w:t>数据[7:0]</w:t>
            </w:r>
          </w:p>
        </w:tc>
        <w:tc>
          <w:tcPr>
            <w:tcW w:w="2160" w:type="dxa"/>
          </w:tcPr>
          <w:p w14:paraId="17441BEF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5C49BD30">
            <w:pPr>
              <w:spacing w:after="0" w:line="240" w:lineRule="auto"/>
            </w:pPr>
            <w:r>
              <w:t>数据最低字节</w:t>
            </w:r>
          </w:p>
        </w:tc>
      </w:tr>
      <w:tr w14:paraId="5FAFB6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C09B06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2A062CD2">
            <w:pPr>
              <w:spacing w:after="0" w:line="240" w:lineRule="auto"/>
            </w:pPr>
            <w:r>
              <w:t>校验和</w:t>
            </w:r>
          </w:p>
        </w:tc>
        <w:tc>
          <w:tcPr>
            <w:tcW w:w="2160" w:type="dxa"/>
          </w:tcPr>
          <w:p w14:paraId="0CD929F4">
            <w:pPr>
              <w:spacing w:after="0" w:line="240" w:lineRule="auto"/>
            </w:pPr>
            <w:r>
              <w:t>0x00～0xFF</w:t>
            </w:r>
          </w:p>
        </w:tc>
        <w:tc>
          <w:tcPr>
            <w:tcW w:w="2160" w:type="dxa"/>
          </w:tcPr>
          <w:p w14:paraId="2161E9EA">
            <w:pPr>
              <w:spacing w:after="0" w:line="240" w:lineRule="auto"/>
            </w:pPr>
            <w:r>
              <w:t>字节0～9的累加和，取低8位</w:t>
            </w:r>
          </w:p>
        </w:tc>
      </w:tr>
      <w:tr w14:paraId="7E2C2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C6A0B1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685C359F">
            <w:pPr>
              <w:spacing w:after="0" w:line="240" w:lineRule="auto"/>
            </w:pPr>
            <w:r>
              <w:t>帧尾</w:t>
            </w:r>
          </w:p>
        </w:tc>
        <w:tc>
          <w:tcPr>
            <w:tcW w:w="2160" w:type="dxa"/>
          </w:tcPr>
          <w:p w14:paraId="6EAA9B40">
            <w:pPr>
              <w:spacing w:after="0" w:line="240" w:lineRule="auto"/>
            </w:pPr>
            <w:r>
              <w:t>0x03</w:t>
            </w:r>
          </w:p>
        </w:tc>
        <w:tc>
          <w:tcPr>
            <w:tcW w:w="2160" w:type="dxa"/>
          </w:tcPr>
          <w:p w14:paraId="57F89FE9">
            <w:pPr>
              <w:spacing w:after="0" w:line="240" w:lineRule="auto"/>
            </w:pPr>
            <w:r>
              <w:t>ETX（End of Text），帧终止标识</w:t>
            </w:r>
          </w:p>
        </w:tc>
      </w:tr>
    </w:tbl>
    <w:p w14:paraId="0D103EE6"/>
    <w:p w14:paraId="18E27D1C">
      <w:r>
        <w:t>字节序：采用大端序（Big-Endian），高位字节先传输。在Python中通过struct.pack('&gt;BBII', ...)实现（main.py，第20行），'&gt;'符号表示大端序。</w:t>
      </w:r>
    </w:p>
    <w:p w14:paraId="00FCA827">
      <w:pPr>
        <w:pStyle w:val="16"/>
      </w:pPr>
      <w:r>
        <w:t>4.4.3 命令码与操作说明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A1F1E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3D3D3"/>
          </w:tcPr>
          <w:p w14:paraId="0F49DC04">
            <w:pPr>
              <w:spacing w:after="0" w:line="240" w:lineRule="auto"/>
            </w:pPr>
            <w:r>
              <w:rPr>
                <w:b/>
              </w:rPr>
              <w:t>命令码</w:t>
            </w:r>
          </w:p>
        </w:tc>
        <w:tc>
          <w:tcPr>
            <w:tcW w:w="1440" w:type="dxa"/>
            <w:shd w:val="clear" w:color="auto" w:fill="D3D3D3"/>
          </w:tcPr>
          <w:p w14:paraId="67C11045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1440" w:type="dxa"/>
            <w:shd w:val="clear" w:color="auto" w:fill="D3D3D3"/>
          </w:tcPr>
          <w:p w14:paraId="5DA96A3E">
            <w:pPr>
              <w:spacing w:after="0" w:line="240" w:lineRule="auto"/>
            </w:pPr>
            <w:r>
              <w:rPr>
                <w:b/>
              </w:rPr>
              <w:t>地址字段</w:t>
            </w:r>
          </w:p>
        </w:tc>
        <w:tc>
          <w:tcPr>
            <w:tcW w:w="1440" w:type="dxa"/>
            <w:shd w:val="clear" w:color="auto" w:fill="D3D3D3"/>
          </w:tcPr>
          <w:p w14:paraId="1CBA5D62">
            <w:pPr>
              <w:spacing w:after="0" w:line="240" w:lineRule="auto"/>
            </w:pPr>
            <w:r>
              <w:rPr>
                <w:b/>
              </w:rPr>
              <w:t>数据字段（请求）</w:t>
            </w:r>
          </w:p>
        </w:tc>
        <w:tc>
          <w:tcPr>
            <w:tcW w:w="1440" w:type="dxa"/>
            <w:shd w:val="clear" w:color="auto" w:fill="D3D3D3"/>
          </w:tcPr>
          <w:p w14:paraId="6EC58CF0">
            <w:pPr>
              <w:spacing w:after="0" w:line="240" w:lineRule="auto"/>
            </w:pPr>
            <w:r>
              <w:rPr>
                <w:b/>
              </w:rPr>
              <w:t>数据字段（响应）</w:t>
            </w:r>
          </w:p>
        </w:tc>
        <w:tc>
          <w:tcPr>
            <w:tcW w:w="1440" w:type="dxa"/>
            <w:shd w:val="clear" w:color="auto" w:fill="D3D3D3"/>
          </w:tcPr>
          <w:p w14:paraId="40475C7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BE50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B94C95">
            <w:pPr>
              <w:spacing w:after="0" w:line="240" w:lineRule="auto"/>
            </w:pPr>
            <w:r>
              <w:t>0x52</w:t>
            </w:r>
          </w:p>
        </w:tc>
        <w:tc>
          <w:tcPr>
            <w:tcW w:w="1440" w:type="dxa"/>
          </w:tcPr>
          <w:p w14:paraId="324DE871">
            <w:pPr>
              <w:spacing w:after="0" w:line="240" w:lineRule="auto"/>
            </w:pPr>
            <w:r>
              <w:t>READ</w:t>
            </w:r>
          </w:p>
        </w:tc>
        <w:tc>
          <w:tcPr>
            <w:tcW w:w="1440" w:type="dxa"/>
          </w:tcPr>
          <w:p w14:paraId="21D73BC1">
            <w:pPr>
              <w:spacing w:after="0" w:line="240" w:lineRule="auto"/>
            </w:pPr>
            <w:r>
              <w:t>寄存器地址</w:t>
            </w:r>
          </w:p>
        </w:tc>
        <w:tc>
          <w:tcPr>
            <w:tcW w:w="1440" w:type="dxa"/>
          </w:tcPr>
          <w:p w14:paraId="4570C2D4">
            <w:pPr>
              <w:spacing w:after="0" w:line="240" w:lineRule="auto"/>
            </w:pPr>
            <w:r>
              <w:t>任意（通常为0）</w:t>
            </w:r>
          </w:p>
        </w:tc>
        <w:tc>
          <w:tcPr>
            <w:tcW w:w="1440" w:type="dxa"/>
          </w:tcPr>
          <w:p w14:paraId="7BA6DFFB">
            <w:pPr>
              <w:spacing w:after="0" w:line="240" w:lineRule="auto"/>
            </w:pPr>
            <w:r>
              <w:t>寄存器读出值</w:t>
            </w:r>
          </w:p>
        </w:tc>
        <w:tc>
          <w:tcPr>
            <w:tcW w:w="1440" w:type="dxa"/>
          </w:tcPr>
          <w:p w14:paraId="68081DF5">
            <w:pPr>
              <w:spacing w:after="0" w:line="240" w:lineRule="auto"/>
            </w:pPr>
            <w:r>
              <w:t>读取指定地址的32位数据</w:t>
            </w:r>
          </w:p>
        </w:tc>
      </w:tr>
      <w:tr w14:paraId="0492E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FEACF1">
            <w:pPr>
              <w:spacing w:after="0" w:line="240" w:lineRule="auto"/>
            </w:pPr>
            <w:r>
              <w:t>0x57</w:t>
            </w:r>
          </w:p>
        </w:tc>
        <w:tc>
          <w:tcPr>
            <w:tcW w:w="1440" w:type="dxa"/>
          </w:tcPr>
          <w:p w14:paraId="15366AD4">
            <w:pPr>
              <w:spacing w:after="0" w:line="240" w:lineRule="auto"/>
            </w:pPr>
            <w:r>
              <w:t>WRITE</w:t>
            </w:r>
          </w:p>
        </w:tc>
        <w:tc>
          <w:tcPr>
            <w:tcW w:w="1440" w:type="dxa"/>
          </w:tcPr>
          <w:p w14:paraId="2030A71E">
            <w:pPr>
              <w:spacing w:after="0" w:line="240" w:lineRule="auto"/>
            </w:pPr>
            <w:r>
              <w:t>寄存器地址</w:t>
            </w:r>
          </w:p>
        </w:tc>
        <w:tc>
          <w:tcPr>
            <w:tcW w:w="1440" w:type="dxa"/>
          </w:tcPr>
          <w:p w14:paraId="2BC9E0DC">
            <w:pPr>
              <w:spacing w:after="0" w:line="240" w:lineRule="auto"/>
            </w:pPr>
            <w:r>
              <w:t>待写入的32位数据</w:t>
            </w:r>
          </w:p>
        </w:tc>
        <w:tc>
          <w:tcPr>
            <w:tcW w:w="1440" w:type="dxa"/>
          </w:tcPr>
          <w:p w14:paraId="1C2A3F28">
            <w:pPr>
              <w:spacing w:after="0" w:line="240" w:lineRule="auto"/>
            </w:pPr>
            <w:r>
              <w:t>待写入的32位数据（回显）</w:t>
            </w:r>
          </w:p>
        </w:tc>
        <w:tc>
          <w:tcPr>
            <w:tcW w:w="1440" w:type="dxa"/>
          </w:tcPr>
          <w:p w14:paraId="609962D8">
            <w:pPr>
              <w:spacing w:after="0" w:line="240" w:lineRule="auto"/>
            </w:pPr>
            <w:r>
              <w:t>写入指定地址的32位数据</w:t>
            </w:r>
          </w:p>
        </w:tc>
      </w:tr>
      <w:tr w14:paraId="0C056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8EB86C">
            <w:pPr>
              <w:spacing w:after="0" w:line="240" w:lineRule="auto"/>
            </w:pPr>
            <w:r>
              <w:t>0x56</w:t>
            </w:r>
          </w:p>
        </w:tc>
        <w:tc>
          <w:tcPr>
            <w:tcW w:w="1440" w:type="dxa"/>
          </w:tcPr>
          <w:p w14:paraId="59FFBADC">
            <w:pPr>
              <w:spacing w:after="0" w:line="240" w:lineRule="auto"/>
            </w:pPr>
            <w:r>
              <w:t>VERSION</w:t>
            </w:r>
          </w:p>
        </w:tc>
        <w:tc>
          <w:tcPr>
            <w:tcW w:w="1440" w:type="dxa"/>
          </w:tcPr>
          <w:p w14:paraId="7E2981DA">
            <w:pPr>
              <w:spacing w:after="0" w:line="240" w:lineRule="auto"/>
            </w:pPr>
            <w:r>
              <w:t>任意（通常为0）</w:t>
            </w:r>
          </w:p>
        </w:tc>
        <w:tc>
          <w:tcPr>
            <w:tcW w:w="1440" w:type="dxa"/>
          </w:tcPr>
          <w:p w14:paraId="718AFAD5">
            <w:pPr>
              <w:spacing w:after="0" w:line="240" w:lineRule="auto"/>
            </w:pPr>
            <w:r>
              <w:t>任意（通常为0）</w:t>
            </w:r>
          </w:p>
        </w:tc>
        <w:tc>
          <w:tcPr>
            <w:tcW w:w="1440" w:type="dxa"/>
          </w:tcPr>
          <w:p w14:paraId="0B0628B1">
            <w:pPr>
              <w:spacing w:after="0" w:line="240" w:lineRule="auto"/>
            </w:pPr>
            <w:r>
              <w:t>固件版本号</w:t>
            </w:r>
          </w:p>
        </w:tc>
        <w:tc>
          <w:tcPr>
            <w:tcW w:w="1440" w:type="dxa"/>
          </w:tcPr>
          <w:p w14:paraId="0F967496">
            <w:pPr>
              <w:spacing w:after="0" w:line="240" w:lineRule="auto"/>
            </w:pPr>
            <w:r>
              <w:t>查询下位机固件版本号</w:t>
            </w:r>
          </w:p>
        </w:tc>
      </w:tr>
    </w:tbl>
    <w:p w14:paraId="7C817143"/>
    <w:p w14:paraId="19252F7F">
      <w:pPr>
        <w:pStyle w:val="16"/>
      </w:pPr>
      <w:r>
        <w:t>4.4.4 校验机制</w:t>
      </w:r>
    </w:p>
    <w:p w14:paraId="6DF8DC2C">
      <w:r>
        <w:t>采用简单累加和校验（Checksum），计算方法为：</w:t>
      </w:r>
      <w:r>
        <w:br w:type="textWrapping"/>
      </w:r>
      <w:r>
        <w:br w:type="textWrapping"/>
      </w:r>
      <w:r>
        <w:t>checksum = (字节0 + 字节1 + ... + 字节9) mod 256</w:t>
      </w:r>
      <w:r>
        <w:br w:type="textWrapping"/>
      </w:r>
      <w:r>
        <w:br w:type="textWrapping"/>
      </w:r>
      <w:r>
        <w:t>即帧的前10个字节（帧头到数据最低字节）进行无符号8位累加，结果的低8位即为校验和。</w:t>
      </w:r>
      <w:r>
        <w:br w:type="textWrapping"/>
      </w:r>
      <w:r>
        <w:br w:type="textWrapping"/>
      </w:r>
      <w:r>
        <w:t>在C语言实现中（main.c中UartProto_Checksum函数）：</w:t>
      </w:r>
      <w:r>
        <w:br w:type="textWrapping"/>
      </w:r>
      <w:r>
        <w:t>static uint8_t UartProto_Checksum(const uint8_t *buf, int len)</w:t>
      </w:r>
      <w:r>
        <w:br w:type="textWrapping"/>
      </w:r>
      <w:r>
        <w:t>{</w:t>
      </w:r>
      <w:r>
        <w:br w:type="textWrapping"/>
      </w:r>
      <w:r>
        <w:t xml:space="preserve">    uint8_t cs = 0;</w:t>
      </w:r>
      <w:r>
        <w:br w:type="textWrapping"/>
      </w:r>
      <w:r>
        <w:t xml:space="preserve">    for (int i = 0; i &lt; len; i++) {</w:t>
      </w:r>
      <w:r>
        <w:br w:type="textWrapping"/>
      </w:r>
      <w:r>
        <w:t xml:space="preserve">        cs += buf[i];  // 累加</w:t>
      </w:r>
      <w:r>
        <w:br w:type="textWrapping"/>
      </w:r>
      <w:r>
        <w:t xml:space="preserve">    }</w:t>
      </w:r>
      <w:r>
        <w:br w:type="textWrapping"/>
      </w:r>
      <w:r>
        <w:t xml:space="preserve">    return cs;  // 自动截断为8位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在Python实现中（main.py，第15～17行）：</w:t>
      </w:r>
      <w:r>
        <w:br w:type="textWrapping"/>
      </w:r>
      <w:r>
        <w:t>def _calculate_checksum(self, data_bytes):</w:t>
      </w:r>
      <w:r>
        <w:br w:type="textWrapping"/>
      </w:r>
      <w:r>
        <w:t xml:space="preserve">    return sum(data_bytes) &amp; 0xFF</w:t>
      </w:r>
      <w:r>
        <w:br w:type="textWrapping"/>
      </w:r>
      <w:r>
        <w:br w:type="textWrapping"/>
      </w:r>
      <w:r>
        <w:t>校验和能够检测单个字节的任意翻转（1-bit error），但对多个字节的互相抵消错误无法检测。对于短帧（12字节）和可靠的UART链路，此机制足以满足需求。</w:t>
      </w:r>
    </w:p>
    <w:p w14:paraId="2487A8AF">
      <w:r>
        <w:rPr>
          <w:b/>
          <w:sz w:val="28"/>
        </w:rPr>
        <w:t>4.5 协议状态机设计</w:t>
      </w:r>
    </w:p>
    <w:p w14:paraId="3E48B126">
      <w:pPr>
        <w:pStyle w:val="16"/>
      </w:pPr>
      <w:r>
        <w:t>4.5.1 接收端状态机模型</w:t>
      </w:r>
    </w:p>
    <w:p w14:paraId="31D3FD28">
      <w:r>
        <w:t>下位机采用有限状态机（FSM）的方式实现协议接收和命令执行。状态机由UartProto_Task()函数实现（main.c，第193～295行），共包含6个主要状态，用静态变量task进行状态转移：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76"/>
        <w:gridCol w:w="1728"/>
        <w:gridCol w:w="1728"/>
        <w:gridCol w:w="1728"/>
      </w:tblGrid>
      <w:tr w14:paraId="345BE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3D3D3"/>
          </w:tcPr>
          <w:p w14:paraId="56E9553B">
            <w:pPr>
              <w:spacing w:after="0" w:line="240" w:lineRule="auto"/>
            </w:pPr>
            <w:r>
              <w:rPr>
                <w:b/>
              </w:rPr>
              <w:t>状态值</w:t>
            </w:r>
          </w:p>
        </w:tc>
        <w:tc>
          <w:tcPr>
            <w:tcW w:w="1728" w:type="dxa"/>
            <w:shd w:val="clear" w:color="auto" w:fill="D3D3D3"/>
          </w:tcPr>
          <w:p w14:paraId="13939026">
            <w:pPr>
              <w:spacing w:after="0" w:line="240" w:lineRule="auto"/>
            </w:pPr>
            <w:r>
              <w:rPr>
                <w:b/>
              </w:rPr>
              <w:t>状态名</w:t>
            </w:r>
          </w:p>
        </w:tc>
        <w:tc>
          <w:tcPr>
            <w:tcW w:w="1728" w:type="dxa"/>
            <w:shd w:val="clear" w:color="auto" w:fill="D3D3D3"/>
          </w:tcPr>
          <w:p w14:paraId="5A0F71C3">
            <w:pPr>
              <w:spacing w:after="0" w:line="240" w:lineRule="auto"/>
            </w:pPr>
            <w:r>
              <w:rPr>
                <w:b/>
              </w:rPr>
              <w:t>转移条件</w:t>
            </w:r>
          </w:p>
        </w:tc>
        <w:tc>
          <w:tcPr>
            <w:tcW w:w="1728" w:type="dxa"/>
            <w:shd w:val="clear" w:color="auto" w:fill="D3D3D3"/>
          </w:tcPr>
          <w:p w14:paraId="04344EA3">
            <w:pPr>
              <w:spacing w:after="0" w:line="240" w:lineRule="auto"/>
            </w:pPr>
            <w:r>
              <w:rPr>
                <w:b/>
              </w:rPr>
              <w:t>下一状态</w:t>
            </w:r>
          </w:p>
        </w:tc>
        <w:tc>
          <w:tcPr>
            <w:tcW w:w="1728" w:type="dxa"/>
            <w:shd w:val="clear" w:color="auto" w:fill="D3D3D3"/>
          </w:tcPr>
          <w:p w14:paraId="5CE895EB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0527D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1132B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57D863A">
            <w:pPr>
              <w:spacing w:after="0" w:line="240" w:lineRule="auto"/>
            </w:pPr>
            <w:r>
              <w:t>IDLE（空闲）</w:t>
            </w:r>
          </w:p>
        </w:tc>
        <w:tc>
          <w:tcPr>
            <w:tcW w:w="1728" w:type="dxa"/>
          </w:tcPr>
          <w:p w14:paraId="53C7C140">
            <w:pPr>
              <w:spacing w:after="0" w:line="240" w:lineRule="auto"/>
            </w:pPr>
            <w:r>
              <w:t>收到帧头0x02</w:t>
            </w:r>
          </w:p>
        </w:tc>
        <w:tc>
          <w:tcPr>
            <w:tcW w:w="1728" w:type="dxa"/>
          </w:tcPr>
          <w:p w14:paraId="1ABD99FB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1235739C">
            <w:pPr>
              <w:spacing w:after="0" w:line="240" w:lineRule="auto"/>
            </w:pPr>
            <w:r>
              <w:t>等待帧开始，一旦收到正确的帧头则进入接收中间字节状态</w:t>
            </w:r>
          </w:p>
        </w:tc>
      </w:tr>
      <w:tr w14:paraId="6D58A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D54EB9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0C11E1FF">
            <w:pPr>
              <w:spacing w:after="0" w:line="240" w:lineRule="auto"/>
            </w:pPr>
            <w:r>
              <w:t>RECV_BODY（接收体）</w:t>
            </w:r>
          </w:p>
        </w:tc>
        <w:tc>
          <w:tcPr>
            <w:tcW w:w="1728" w:type="dxa"/>
          </w:tcPr>
          <w:p w14:paraId="6828FEB5">
            <w:pPr>
              <w:spacing w:after="0" w:line="240" w:lineRule="auto"/>
            </w:pPr>
            <w:r>
              <w:t>rx_len==11</w:t>
            </w:r>
          </w:p>
        </w:tc>
        <w:tc>
          <w:tcPr>
            <w:tcW w:w="1728" w:type="dxa"/>
          </w:tcPr>
          <w:p w14:paraId="09727AD8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08CB2226">
            <w:pPr>
              <w:spacing w:after="0" w:line="240" w:lineRule="auto"/>
            </w:pPr>
            <w:r>
              <w:t>接收除帧头外的10个字节（命令码、地址、数据），若超时则回退至状态0</w:t>
            </w:r>
          </w:p>
        </w:tc>
      </w:tr>
      <w:tr w14:paraId="6F587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845F91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3E88D41">
            <w:pPr>
              <w:spacing w:after="0" w:line="240" w:lineRule="auto"/>
            </w:pPr>
            <w:r>
              <w:t>VERIFY_TAIL（验证帧尾）</w:t>
            </w:r>
          </w:p>
        </w:tc>
        <w:tc>
          <w:tcPr>
            <w:tcW w:w="1728" w:type="dxa"/>
          </w:tcPr>
          <w:p w14:paraId="21689972">
            <w:pPr>
              <w:spacing w:after="0" w:line="240" w:lineRule="auto"/>
            </w:pPr>
            <w:r>
              <w:t>收到0x03</w:t>
            </w:r>
          </w:p>
        </w:tc>
        <w:tc>
          <w:tcPr>
            <w:tcW w:w="1728" w:type="dxa"/>
          </w:tcPr>
          <w:p w14:paraId="252BD8D0">
            <w:pPr>
              <w:spacing w:after="0" w:line="240" w:lineRule="auto"/>
            </w:pPr>
            <w:r>
              <w:t>30；否则0</w:t>
            </w:r>
          </w:p>
        </w:tc>
        <w:tc>
          <w:tcPr>
            <w:tcW w:w="1728" w:type="dxa"/>
          </w:tcPr>
          <w:p w14:paraId="6F06BCED">
            <w:pPr>
              <w:spacing w:after="0" w:line="240" w:lineRule="auto"/>
            </w:pPr>
            <w:r>
              <w:t>检查第12字节是否为帧尾</w:t>
            </w:r>
          </w:p>
        </w:tc>
      </w:tr>
      <w:tr w14:paraId="713BE4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C4A658">
            <w:pPr>
              <w:spacing w:after="0" w:line="240" w:lineRule="auto"/>
            </w:pPr>
            <w:r>
              <w:t>30</w:t>
            </w:r>
          </w:p>
        </w:tc>
        <w:tc>
          <w:tcPr>
            <w:tcW w:w="1728" w:type="dxa"/>
          </w:tcPr>
          <w:p w14:paraId="228E16DB">
            <w:pPr>
              <w:spacing w:after="0" w:line="240" w:lineRule="auto"/>
            </w:pPr>
            <w:r>
              <w:t>CHECK_SUM（校验和验证）</w:t>
            </w:r>
          </w:p>
        </w:tc>
        <w:tc>
          <w:tcPr>
            <w:tcW w:w="1728" w:type="dxa"/>
          </w:tcPr>
          <w:p w14:paraId="0B62A90F">
            <w:pPr>
              <w:spacing w:after="0" w:line="240" w:lineRule="auto"/>
            </w:pPr>
            <w:r>
              <w:t>校验和正确</w:t>
            </w:r>
          </w:p>
        </w:tc>
        <w:tc>
          <w:tcPr>
            <w:tcW w:w="1728" w:type="dxa"/>
          </w:tcPr>
          <w:p w14:paraId="456DBDE8">
            <w:pPr>
              <w:spacing w:after="0" w:line="240" w:lineRule="auto"/>
            </w:pPr>
            <w:r>
              <w:t>40；否则0</w:t>
            </w:r>
          </w:p>
        </w:tc>
        <w:tc>
          <w:tcPr>
            <w:tcW w:w="1728" w:type="dxa"/>
          </w:tcPr>
          <w:p w14:paraId="6BCFB64F">
            <w:pPr>
              <w:spacing w:after="0" w:line="240" w:lineRule="auto"/>
            </w:pPr>
            <w:r>
              <w:t>验证字节0～9的累加和是否与字节10匹配</w:t>
            </w:r>
          </w:p>
        </w:tc>
      </w:tr>
      <w:tr w14:paraId="2A87DD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A0C104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</w:tcPr>
          <w:p w14:paraId="22C8FD5B">
            <w:pPr>
              <w:spacing w:after="0" w:line="240" w:lineRule="auto"/>
            </w:pPr>
            <w:r>
              <w:t>EXECUTE（命令执行）</w:t>
            </w:r>
          </w:p>
        </w:tc>
        <w:tc>
          <w:tcPr>
            <w:tcW w:w="1728" w:type="dxa"/>
          </w:tcPr>
          <w:p w14:paraId="31DAA18D">
            <w:pPr>
              <w:spacing w:after="0" w:line="240" w:lineRule="auto"/>
            </w:pPr>
            <w:r>
              <w:t>总是成立</w:t>
            </w:r>
          </w:p>
        </w:tc>
        <w:tc>
          <w:tcPr>
            <w:tcW w:w="1728" w:type="dxa"/>
          </w:tcPr>
          <w:p w14:paraId="127A0F9E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3470A546">
            <w:pPr>
              <w:spacing w:after="0" w:line="240" w:lineRule="auto"/>
            </w:pPr>
            <w:r>
              <w:t>解析命令码，执行寄存器读/写/版本查询操作，构造响应帧</w:t>
            </w:r>
          </w:p>
        </w:tc>
      </w:tr>
      <w:tr w14:paraId="48B74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79949D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558A03F7">
            <w:pPr>
              <w:spacing w:after="0" w:line="240" w:lineRule="auto"/>
            </w:pPr>
            <w:r>
              <w:t>SEND_RESPONSE（发送回包）</w:t>
            </w:r>
          </w:p>
        </w:tc>
        <w:tc>
          <w:tcPr>
            <w:tcW w:w="1728" w:type="dxa"/>
          </w:tcPr>
          <w:p w14:paraId="30D83ED7">
            <w:pPr>
              <w:spacing w:after="0" w:line="240" w:lineRule="auto"/>
            </w:pPr>
            <w:r>
              <w:t>总是成立</w:t>
            </w:r>
          </w:p>
        </w:tc>
        <w:tc>
          <w:tcPr>
            <w:tcW w:w="1728" w:type="dxa"/>
          </w:tcPr>
          <w:p w14:paraId="3B8DDAB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8BA0186">
            <w:pPr>
              <w:spacing w:after="0" w:line="240" w:lineRule="auto"/>
            </w:pPr>
            <w:r>
              <w:t>通过UART发送12字节的响应帧，然后回到空闲态</w:t>
            </w:r>
          </w:p>
        </w:tc>
      </w:tr>
    </w:tbl>
    <w:p w14:paraId="6300E23B"/>
    <w:p w14:paraId="28A6DE98">
      <w:pPr>
        <w:pStyle w:val="16"/>
      </w:pPr>
      <w:r>
        <w:t>4.5.2 状态机实现细节</w:t>
      </w:r>
    </w:p>
    <w:p w14:paraId="7E66275D">
      <w:r>
        <w:t>状态0（空闲）（main.c，第222～230行）：</w:t>
      </w:r>
      <w:r>
        <w:br w:type="textWrapping"/>
      </w:r>
      <w:r>
        <w:t>case 0:  // 等待包头</w:t>
      </w:r>
      <w:r>
        <w:br w:type="textWrapping"/>
      </w:r>
      <w:r>
        <w:t xml:space="preserve">    if (UartProto_ReceiveByte(&amp;byte_in) == 1) {</w:t>
      </w:r>
      <w:r>
        <w:br w:type="textWrapping"/>
      </w:r>
      <w:r>
        <w:t xml:space="preserve">        if (byte_in == FRAME_HEADER) {</w:t>
      </w:r>
      <w:r>
        <w:br w:type="textWrapping"/>
      </w:r>
      <w:r>
        <w:t xml:space="preserve">            rb[0] = byte_in;</w:t>
      </w:r>
      <w:r>
        <w:br w:type="textWrapping"/>
      </w:r>
      <w:r>
        <w:t xml:space="preserve">            rx_len = 1;</w:t>
      </w:r>
      <w:r>
        <w:br w:type="textWrapping"/>
      </w:r>
      <w:r>
        <w:t xml:space="preserve">            timeout_cnt = 0;</w:t>
      </w:r>
      <w:r>
        <w:br w:type="textWrapping"/>
      </w:r>
      <w:r>
        <w:t xml:space="preserve">            task = 10;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 xml:space="preserve">    break;</w:t>
      </w:r>
      <w:r>
        <w:br w:type="textWrapping"/>
      </w:r>
      <w:r>
        <w:br w:type="textWrapping"/>
      </w:r>
      <w:r>
        <w:t>持续尝试接收字节，仅当收到帧头0x02时才转向状态10。</w:t>
      </w:r>
      <w:r>
        <w:br w:type="textWrapping"/>
      </w:r>
      <w:r>
        <w:br w:type="textWrapping"/>
      </w:r>
      <w:r>
        <w:t>状态10（接收中间10字节）（main.c，第232～246行）：逐字节接收，每成功接收一个字节则超时计数复位；若无数据可读，超时计数递增；超过阈值后放弃当前帧，回到空闲状态。</w:t>
      </w:r>
      <w:r>
        <w:br w:type="textWrapping"/>
      </w:r>
      <w:r>
        <w:br w:type="textWrapping"/>
      </w:r>
      <w:r>
        <w:t>状态20～30（验证帧尾与校验和）：验证帧尾是否为0x03，然后计算前10字节的校验和并与字节10对比。任何不匹配都立即回退至状态0。</w:t>
      </w:r>
      <w:r>
        <w:br w:type="textWrapping"/>
      </w:r>
      <w:r>
        <w:br w:type="textWrapping"/>
      </w:r>
      <w:r>
        <w:t>状态40（命令执行）（main.c，第262～288行）：解析接收缓冲中的命令码、地址、数据，执行相应的寄存器操作，然后在发送缓冲sb中构造一份相同格式的响应帧。</w:t>
      </w:r>
      <w:r>
        <w:br w:type="textWrapping"/>
      </w:r>
      <w:r>
        <w:br w:type="textWrapping"/>
      </w:r>
      <w:r>
        <w:t>状态50（发送响应）（main.c，第290～293行）：调用发送函数逐字节将响应帧发送出去，然后立即回到空闲状态，可以接收下一个请求。</w:t>
      </w:r>
    </w:p>
    <w:p w14:paraId="54DBC7DD">
      <w:pPr>
        <w:pStyle w:val="16"/>
      </w:pPr>
      <w:r>
        <w:t>4.5.3 超时与错误恢复机制</w:t>
      </w:r>
    </w:p>
    <w:p w14:paraId="1866EAE1">
      <w:r>
        <w:t>超时恢复：状态10中的timeout_cnt计数器用于检测接收中断。当连续无数据到达超过10000次轮询周期时，判定为超时，放弃当前帧接收，回到状态0。这种设计避免了长期卡在中间状态，保证状态机的活性（liveness）。</w:t>
      </w:r>
      <w:r>
        <w:br w:type="textWrapping"/>
      </w:r>
      <w:r>
        <w:br w:type="textWrapping"/>
      </w:r>
      <w:r>
        <w:t>帧头同步：即使接收到错误的帧尾或校验失败，状态机无条件回到状态0寻找下一个帧头0x02。这种同步机制使得协议能够自动从多字节错误中恢复，只要后续帧的格式正确即可继续通信。</w:t>
      </w:r>
      <w:r>
        <w:br w:type="textWrapping"/>
      </w:r>
      <w:r>
        <w:br w:type="textWrapping"/>
      </w:r>
      <w:r>
        <w:t>原子性保证：整个UartProto_Task()函数在主循环中被调用，无中断上下文，所以对全局变量task、rb、sb的访问天然是原子的，无需显式的互斥锁。</w:t>
      </w:r>
    </w:p>
    <w:p w14:paraId="6C5361D4">
      <w:pPr>
        <w:pStyle w:val="16"/>
      </w:pPr>
      <w:r>
        <w:t>4.5.4 主循环中的状态机执行</w:t>
      </w:r>
    </w:p>
    <w:p w14:paraId="7026E264">
      <w:r>
        <w:t>在main()函数中（main.c，第1268行之后的协议模式分支），状态机在无限循环中反复执行：</w:t>
      </w:r>
      <w:r>
        <w:br w:type="textWrapping"/>
      </w:r>
      <w:r>
        <w:t>while (1) {</w:t>
      </w:r>
      <w:r>
        <w:br w:type="textWrapping"/>
      </w:r>
      <w:r>
        <w:t xml:space="preserve">    UartProto_Task();  // 每次循环执行一个状态转移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执行频率由处理器主频决定，通常在MHz数量级，所以对于115200 bps的UART（单字节~87µs），轮询频率足以满足实时性要求。</w:t>
      </w:r>
    </w:p>
    <w:p w14:paraId="6849E288">
      <w:r>
        <w:rPr>
          <w:b/>
          <w:sz w:val="28"/>
        </w:rPr>
        <w:t>4.6 FPGA寄存器访问机制</w:t>
      </w:r>
    </w:p>
    <w:p w14:paraId="4ABCDCFD">
      <w:pPr>
        <w:pStyle w:val="16"/>
      </w:pPr>
      <w:r>
        <w:t>4.6.1 寄存器地址空间与总线接口</w:t>
      </w:r>
    </w:p>
    <w:p w14:paraId="1E309CDA">
      <w:r>
        <w:t>本系统的FPGA包含多个外设模块，包括ISP（图像信号处理）、PAD_MUX（引脚复用）等，均通过APB总线连接到E902处理器。各模块的基地址定义如下：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9DF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3D3"/>
          </w:tcPr>
          <w:p w14:paraId="720BD4B2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  <w:shd w:val="clear" w:color="auto" w:fill="D3D3D3"/>
          </w:tcPr>
          <w:p w14:paraId="20B1BA03">
            <w:pPr>
              <w:spacing w:after="0" w:line="240" w:lineRule="auto"/>
            </w:pPr>
            <w:r>
              <w:rPr>
                <w:b/>
              </w:rPr>
              <w:t>左眼基地址</w:t>
            </w:r>
          </w:p>
        </w:tc>
        <w:tc>
          <w:tcPr>
            <w:tcW w:w="2160" w:type="dxa"/>
            <w:shd w:val="clear" w:color="auto" w:fill="D3D3D3"/>
          </w:tcPr>
          <w:p w14:paraId="4910C35F">
            <w:pPr>
              <w:spacing w:after="0" w:line="240" w:lineRule="auto"/>
            </w:pPr>
            <w:r>
              <w:rPr>
                <w:b/>
              </w:rPr>
              <w:t>右眼基地址</w:t>
            </w:r>
          </w:p>
        </w:tc>
        <w:tc>
          <w:tcPr>
            <w:tcW w:w="2160" w:type="dxa"/>
            <w:shd w:val="clear" w:color="auto" w:fill="D3D3D3"/>
          </w:tcPr>
          <w:p w14:paraId="5681837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2DC7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233603">
            <w:pPr>
              <w:spacing w:after="0" w:line="240" w:lineRule="auto"/>
            </w:pPr>
            <w:r>
              <w:t>ISP</w:t>
            </w:r>
          </w:p>
        </w:tc>
        <w:tc>
          <w:tcPr>
            <w:tcW w:w="2160" w:type="dxa"/>
          </w:tcPr>
          <w:p w14:paraId="0DBAB04C">
            <w:pPr>
              <w:spacing w:after="0" w:line="240" w:lineRule="auto"/>
            </w:pPr>
            <w:r>
              <w:t>0x4001_B000</w:t>
            </w:r>
          </w:p>
        </w:tc>
        <w:tc>
          <w:tcPr>
            <w:tcW w:w="2160" w:type="dxa"/>
          </w:tcPr>
          <w:p w14:paraId="671E19B8">
            <w:pPr>
              <w:spacing w:after="0" w:line="240" w:lineRule="auto"/>
            </w:pPr>
            <w:r>
              <w:t>0x4001_D000</w:t>
            </w:r>
          </w:p>
        </w:tc>
        <w:tc>
          <w:tcPr>
            <w:tcW w:w="2160" w:type="dxa"/>
          </w:tcPr>
          <w:p w14:paraId="21B44C8E">
            <w:pPr>
              <w:spacing w:after="0" w:line="240" w:lineRule="auto"/>
            </w:pPr>
            <w:r>
              <w:t>立体图像处理，支持左右眼分别配置</w:t>
            </w:r>
          </w:p>
        </w:tc>
      </w:tr>
      <w:tr w14:paraId="32DBDF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F0660">
            <w:pPr>
              <w:spacing w:after="0" w:line="240" w:lineRule="auto"/>
            </w:pPr>
            <w:r>
              <w:t>PAD_MUX</w:t>
            </w:r>
          </w:p>
        </w:tc>
        <w:tc>
          <w:tcPr>
            <w:tcW w:w="2160" w:type="dxa"/>
          </w:tcPr>
          <w:p w14:paraId="7C7DABFD">
            <w:pPr>
              <w:spacing w:after="0" w:line="240" w:lineRule="auto"/>
            </w:pPr>
            <w:r>
              <w:t>0x4001_C000</w:t>
            </w:r>
          </w:p>
        </w:tc>
        <w:tc>
          <w:tcPr>
            <w:tcW w:w="2160" w:type="dxa"/>
          </w:tcPr>
          <w:p w14:paraId="2A8C910A">
            <w:pPr>
              <w:spacing w:after="0" w:line="240" w:lineRule="auto"/>
            </w:pPr>
            <w:r>
              <w:t>0x4001_C000</w:t>
            </w:r>
          </w:p>
        </w:tc>
        <w:tc>
          <w:tcPr>
            <w:tcW w:w="2160" w:type="dxa"/>
          </w:tcPr>
          <w:p w14:paraId="4C885AEC">
            <w:pPr>
              <w:spacing w:after="0" w:line="240" w:lineRule="auto"/>
            </w:pPr>
            <w:r>
              <w:t>引脚复用控制，单个模块</w:t>
            </w:r>
          </w:p>
        </w:tc>
      </w:tr>
    </w:tbl>
    <w:p w14:paraId="2C064448"/>
    <w:p w14:paraId="3AEAD190">
      <w:r>
        <w:t>ISP模块采用了L/R对称设计，两个基地址分别对应左眼和右眼的ISP寄存器组，地址偏移和寄存器结构完全相同。这种设计允许上位机通过修改基地址的高4位（从0xB到0xD）来切换不同眼的ISP配置。</w:t>
      </w:r>
    </w:p>
    <w:p w14:paraId="774FA564">
      <w:pPr>
        <w:pStyle w:val="16"/>
      </w:pPr>
      <w:r>
        <w:t>4.6.2 从UART到FPGA的数据路径</w:t>
      </w:r>
    </w:p>
    <w:p w14:paraId="40F043B0">
      <w:r>
        <w:t>当下位机接收到寄存器读写命令时，数据通过以下路径流向FPGA：UART接收缓冲 → 状态40解析地址 → REG32宏处理 → APB总线（硬件实现）→ ISP/PAD_MUX寄存器（FPGA）</w:t>
      </w:r>
      <w:r>
        <w:br w:type="textWrapping"/>
      </w:r>
      <w:r>
        <w:br w:type="textWrapping"/>
      </w:r>
      <w:r>
        <w:t>REG32宏的定义（main.c，第41行）：</w:t>
      </w:r>
      <w:r>
        <w:br w:type="textWrapping"/>
      </w:r>
      <w:r>
        <w:t>#define REG32(addr) (*((volatile uint32_t *)(addr)))</w:t>
      </w:r>
      <w:r>
        <w:br w:type="textWrapping"/>
      </w:r>
      <w:r>
        <w:br w:type="textWrapping"/>
      </w:r>
      <w:r>
        <w:t>该宏将32位地址强制转换为指向易变（volatile）32位整数的指针，并进行解引用。volatile关键字确保编译器不会优化访问，每次都会执行实际的内存读写操作。</w:t>
      </w:r>
    </w:p>
    <w:p w14:paraId="1CF467CE">
      <w:pPr>
        <w:pStyle w:val="16"/>
      </w:pPr>
      <w:r>
        <w:t>4.6.3 读操作时序</w:t>
      </w:r>
    </w:p>
    <w:p w14:paraId="683097EF">
      <w:r>
        <w:t>C语言实现（main.c中的UartProto_ReadReg()）：</w:t>
      </w:r>
      <w:r>
        <w:br w:type="textWrapping"/>
      </w:r>
      <w:r>
        <w:t>static uint32_t UartProto_ReadReg(uint32_t addr)</w:t>
      </w:r>
      <w:r>
        <w:br w:type="textWrapping"/>
      </w:r>
      <w:r>
        <w:t>{</w:t>
      </w:r>
      <w:r>
        <w:br w:type="textWrapping"/>
      </w:r>
      <w:r>
        <w:t xml:space="preserve">    return REG32(addr);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执行过程：</w:t>
      </w:r>
      <w:r>
        <w:br w:type="textWrapping"/>
      </w:r>
      <w:r>
        <w:t>1. REG32宏展开为*((volatile uint32_t *)(addr))</w:t>
      </w:r>
      <w:r>
        <w:br w:type="textWrapping"/>
      </w:r>
      <w:r>
        <w:t>2. 处理器发出32位读操作到APB总线</w:t>
      </w:r>
      <w:r>
        <w:br w:type="textWrapping"/>
      </w:r>
      <w:r>
        <w:t>3. 硬件组件（如ISP或PAD_MUX）响应该地址，返回寄存器当前值</w:t>
      </w:r>
      <w:r>
        <w:br w:type="textWrapping"/>
      </w:r>
      <w:r>
        <w:t>4. 函数返回读出的32位数据</w:t>
      </w:r>
      <w:r>
        <w:br w:type="textWrapping"/>
      </w:r>
      <w:r>
        <w:br w:type="textWrapping"/>
      </w:r>
      <w:r>
        <w:t>上位机回调链：GUI在_manual_read_register()（gui.py，第1552行）调用：</w:t>
      </w:r>
      <w:r>
        <w:br w:type="textWrapping"/>
      </w:r>
      <w:r>
        <w:t>addr = int(self.addr_var.get(), 0)  // 解析地址（支持0x前缀）</w:t>
      </w:r>
      <w:r>
        <w:br w:type="textWrapping"/>
      </w:r>
      <w:r>
        <w:t>result = self.fpga.send_command(cmd=0x52, addr=addr, data=0)  // CMD_READ</w:t>
      </w:r>
    </w:p>
    <w:p w14:paraId="741898C3">
      <w:pPr>
        <w:pStyle w:val="16"/>
      </w:pPr>
      <w:r>
        <w:t>4.6.4 写操作时序</w:t>
      </w:r>
    </w:p>
    <w:p w14:paraId="497DE3E7">
      <w:r>
        <w:t>C语言实现（main.c中的UartProto_WriteReg()）：</w:t>
      </w:r>
      <w:r>
        <w:br w:type="textWrapping"/>
      </w:r>
      <w:r>
        <w:t>static void UartProto_WriteReg(uint32_t addr, uint32_t data)</w:t>
      </w:r>
      <w:r>
        <w:br w:type="textWrapping"/>
      </w:r>
      <w:r>
        <w:t>{</w:t>
      </w:r>
      <w:r>
        <w:br w:type="textWrapping"/>
      </w:r>
      <w:r>
        <w:t xml:space="preserve">    REG32(addr) = data;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执行过程：</w:t>
      </w:r>
      <w:r>
        <w:br w:type="textWrapping"/>
      </w:r>
      <w:r>
        <w:t>1. REG32宏展开为赋值目标</w:t>
      </w:r>
      <w:r>
        <w:br w:type="textWrapping"/>
      </w:r>
      <w:r>
        <w:t>2. 处理器发出32位写操作到APB总线，数据为data</w:t>
      </w:r>
      <w:r>
        <w:br w:type="textWrapping"/>
      </w:r>
      <w:r>
        <w:t>3. 硬件组件捕获该操作，更新相应的寄存器</w:t>
      </w:r>
      <w:r>
        <w:br w:type="textWrapping"/>
      </w:r>
      <w:r>
        <w:br w:type="textWrapping"/>
      </w:r>
      <w:r>
        <w:t>关键时序问题：某些ISP寄存器的更新需要明确的触发信号。上位机在批量写入参数后，可能需要额外写入一个触发寄存器来确保配置在硬件中生效。</w:t>
      </w:r>
    </w:p>
    <w:p w14:paraId="24163AF2">
      <w:pPr>
        <w:pStyle w:val="16"/>
      </w:pPr>
      <w:r>
        <w:t>4.6.5 L/R眼选择机制</w:t>
      </w:r>
    </w:p>
    <w:p w14:paraId="75BB375B">
      <w:r>
        <w:t>在GUI中，用户可以通过"目标眼别"下拉框（FpgaGui.__init__中的eye_target_var）选择L（左眼）或R（右眼）。当选择为R时，GUI在计算地址前会自动将基地址从0x4001_B000改为0x4001_D000。这种设计使得同一份寄存器配置可以轻松应用到两个眼的ISP模块上，支持立体视觉的调优需求。</w:t>
      </w:r>
    </w:p>
    <w:p w14:paraId="1463820D">
      <w:r>
        <w:rPr>
          <w:b/>
          <w:sz w:val="28"/>
        </w:rPr>
        <w:t>4.7 上位机软件与GUI设计</w:t>
      </w:r>
    </w:p>
    <w:p w14:paraId="5C1FAB20">
      <w:pPr>
        <w:pStyle w:val="16"/>
      </w:pPr>
      <w:r>
        <w:t>4.7.1 上位机整体架构</w:t>
      </w:r>
    </w:p>
    <w:p w14:paraId="1B457853">
      <w:r>
        <w:t>上位机采用分层架构，从下到上依次为：</w:t>
      </w:r>
      <w:r>
        <w:br w:type="textWrapping"/>
      </w:r>
      <w:r>
        <w:t>1. 通信库层（main.py）：FpgaProtocol类，负责UART帧的打包、发送、接收、解包</w:t>
      </w:r>
      <w:r>
        <w:br w:type="textWrapping"/>
      </w:r>
      <w:r>
        <w:t>2. 数据处理层：CSV解析、地址计算、参数转换等</w:t>
      </w:r>
      <w:r>
        <w:br w:type="textWrapping"/>
      </w:r>
      <w:r>
        <w:t>3. GUI层（gui.py）：FpgaGui类，基于tkinter框架，实现多标签页的用户交互界面</w:t>
      </w:r>
    </w:p>
    <w:p w14:paraId="7750AA0F">
      <w:pPr>
        <w:pStyle w:val="16"/>
      </w:pPr>
      <w:r>
        <w:t>4.7.2 GUI功能模块概览</w:t>
      </w:r>
    </w:p>
    <w:p w14:paraId="1C261C7D">
      <w:r>
        <w:t>FpgaGui实现了四个主要的标签页（Tab），分别对应不同的使用场景：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2132"/>
        <w:gridCol w:w="2736"/>
      </w:tblGrid>
      <w:tr w14:paraId="4B607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3D3"/>
          </w:tcPr>
          <w:p w14:paraId="206A4DE8">
            <w:pPr>
              <w:spacing w:after="0" w:line="240" w:lineRule="auto"/>
            </w:pPr>
            <w:r>
              <w:rPr>
                <w:b/>
              </w:rPr>
              <w:t>标签页</w:t>
            </w:r>
          </w:p>
        </w:tc>
        <w:tc>
          <w:tcPr>
            <w:tcW w:w="2160" w:type="dxa"/>
            <w:shd w:val="clear" w:color="auto" w:fill="D3D3D3"/>
          </w:tcPr>
          <w:p w14:paraId="2CFEA37D">
            <w:pPr>
              <w:spacing w:after="0" w:line="240" w:lineRule="auto"/>
            </w:pPr>
            <w:r>
              <w:rPr>
                <w:b/>
              </w:rPr>
              <w:t>中文名</w:t>
            </w:r>
          </w:p>
        </w:tc>
        <w:tc>
          <w:tcPr>
            <w:tcW w:w="2160" w:type="dxa"/>
            <w:shd w:val="clear" w:color="auto" w:fill="D3D3D3"/>
          </w:tcPr>
          <w:p w14:paraId="03C85E94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160" w:type="dxa"/>
            <w:shd w:val="clear" w:color="auto" w:fill="D3D3D3"/>
          </w:tcPr>
          <w:p w14:paraId="1C290CC2">
            <w:pPr>
              <w:spacing w:after="0" w:line="240" w:lineRule="auto"/>
            </w:pPr>
            <w:r>
              <w:rPr>
                <w:b/>
              </w:rPr>
              <w:t>关键方法</w:t>
            </w:r>
          </w:p>
        </w:tc>
      </w:tr>
      <w:tr w14:paraId="6E3821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BDD83E">
            <w:pPr>
              <w:spacing w:after="0" w:line="240" w:lineRule="auto"/>
            </w:pPr>
            <w:r>
              <w:t>Tab 1</w:t>
            </w:r>
          </w:p>
        </w:tc>
        <w:tc>
          <w:tcPr>
            <w:tcW w:w="2160" w:type="dxa"/>
          </w:tcPr>
          <w:p w14:paraId="09E99417">
            <w:pPr>
              <w:spacing w:after="0" w:line="240" w:lineRule="auto"/>
            </w:pPr>
            <w:r>
              <w:t>手动寄存器读写</w:t>
            </w:r>
          </w:p>
        </w:tc>
        <w:tc>
          <w:tcPr>
            <w:tcW w:w="2160" w:type="dxa"/>
          </w:tcPr>
          <w:p w14:paraId="2FD6F06F">
            <w:pPr>
              <w:spacing w:after="0" w:line="240" w:lineRule="auto"/>
            </w:pPr>
            <w:r>
              <w:t>单个寄存器地址的十六进制读写，支持32位值和逐位编辑</w:t>
            </w:r>
          </w:p>
        </w:tc>
        <w:tc>
          <w:tcPr>
            <w:tcW w:w="2160" w:type="dxa"/>
          </w:tcPr>
          <w:p w14:paraId="1D3AEB87">
            <w:pPr>
              <w:spacing w:after="0" w:line="240" w:lineRule="auto"/>
            </w:pPr>
            <w:r>
              <w:t>_build_manual_tab()</w:t>
            </w:r>
          </w:p>
        </w:tc>
      </w:tr>
      <w:tr w14:paraId="08F0F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7FF6E8">
            <w:pPr>
              <w:spacing w:after="0" w:line="240" w:lineRule="auto"/>
            </w:pPr>
            <w:r>
              <w:t>Tab 2</w:t>
            </w:r>
          </w:p>
        </w:tc>
        <w:tc>
          <w:tcPr>
            <w:tcW w:w="2160" w:type="dxa"/>
          </w:tcPr>
          <w:p w14:paraId="597CFB26">
            <w:pPr>
              <w:spacing w:after="0" w:line="240" w:lineRule="auto"/>
            </w:pPr>
            <w:r>
              <w:t>ISP函数配置</w:t>
            </w:r>
          </w:p>
        </w:tc>
        <w:tc>
          <w:tcPr>
            <w:tcW w:w="2160" w:type="dxa"/>
          </w:tcPr>
          <w:p w14:paraId="79DFFF24">
            <w:pPr>
              <w:spacing w:after="0" w:line="240" w:lineRule="auto"/>
            </w:pPr>
            <w:r>
              <w:t>根据CSV解析ISP模块的字段，提供模块筛选和字段批量配置</w:t>
            </w:r>
          </w:p>
        </w:tc>
        <w:tc>
          <w:tcPr>
            <w:tcW w:w="2160" w:type="dxa"/>
          </w:tcPr>
          <w:p w14:paraId="73FA28D9">
            <w:pPr>
              <w:spacing w:after="0" w:line="240" w:lineRule="auto"/>
            </w:pPr>
            <w:r>
              <w:t>_build_function_tab()</w:t>
            </w:r>
          </w:p>
        </w:tc>
      </w:tr>
      <w:tr w14:paraId="732F3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3B8852">
            <w:pPr>
              <w:spacing w:after="0" w:line="240" w:lineRule="auto"/>
            </w:pPr>
            <w:r>
              <w:t>Tab 3</w:t>
            </w:r>
          </w:p>
        </w:tc>
        <w:tc>
          <w:tcPr>
            <w:tcW w:w="2160" w:type="dxa"/>
          </w:tcPr>
          <w:p w14:paraId="6095637B">
            <w:pPr>
              <w:spacing w:after="0" w:line="240" w:lineRule="auto"/>
            </w:pPr>
            <w:r>
              <w:t>固定寄存器</w:t>
            </w:r>
          </w:p>
        </w:tc>
        <w:tc>
          <w:tcPr>
            <w:tcW w:w="2160" w:type="dxa"/>
          </w:tcPr>
          <w:p w14:paraId="5EACEE14">
            <w:pPr>
              <w:spacing w:after="0" w:line="240" w:lineRule="auto"/>
            </w:pPr>
            <w:r>
              <w:t>预配置的常用寄存器列表，支持快速读取和批量导出</w:t>
            </w:r>
          </w:p>
        </w:tc>
        <w:tc>
          <w:tcPr>
            <w:tcW w:w="2160" w:type="dxa"/>
          </w:tcPr>
          <w:p w14:paraId="52840EAB">
            <w:pPr>
              <w:spacing w:after="0" w:line="240" w:lineRule="auto"/>
            </w:pPr>
            <w:r>
              <w:t>_build_fixed_tab()</w:t>
            </w:r>
          </w:p>
        </w:tc>
      </w:tr>
      <w:tr w14:paraId="0372E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FDB487">
            <w:pPr>
              <w:spacing w:after="0" w:line="240" w:lineRule="auto"/>
            </w:pPr>
            <w:r>
              <w:t>Tab 4</w:t>
            </w:r>
          </w:p>
        </w:tc>
        <w:tc>
          <w:tcPr>
            <w:tcW w:w="2160" w:type="dxa"/>
          </w:tcPr>
          <w:p w14:paraId="5F7F3231">
            <w:pPr>
              <w:spacing w:after="0" w:line="240" w:lineRule="auto"/>
            </w:pPr>
            <w:r>
              <w:t>模式选择</w:t>
            </w:r>
          </w:p>
        </w:tc>
        <w:tc>
          <w:tcPr>
            <w:tcW w:w="2160" w:type="dxa"/>
          </w:tcPr>
          <w:p w14:paraId="286D807F">
            <w:pPr>
              <w:spacing w:after="0" w:line="240" w:lineRule="auto"/>
            </w:pPr>
            <w:r>
              <w:t>PAD_MUX（0x4001C030）和MAC输出路由的配置</w:t>
            </w:r>
          </w:p>
        </w:tc>
        <w:tc>
          <w:tcPr>
            <w:tcW w:w="2160" w:type="dxa"/>
          </w:tcPr>
          <w:p w14:paraId="61E9AC77">
            <w:pPr>
              <w:spacing w:after="0" w:line="240" w:lineRule="auto"/>
            </w:pPr>
            <w:r>
              <w:t>_build_mode_tab()</w:t>
            </w:r>
          </w:p>
        </w:tc>
      </w:tr>
    </w:tbl>
    <w:p w14:paraId="4C18C513"/>
    <w:p w14:paraId="780AAA86">
      <w:pPr>
        <w:pStyle w:val="16"/>
      </w:pPr>
      <w:r>
        <w:t>4.7.3 串口连接管理</w:t>
      </w:r>
    </w:p>
    <w:p w14:paraId="4187FFA3">
      <w:r>
        <w:t>打开连接（_open_serial_connection()，gui.py第1333行）：</w:t>
      </w:r>
      <w:r>
        <w:br w:type="textWrapping"/>
      </w:r>
      <w:r>
        <w:t>1. 获取用户选择的端口号和波特率</w:t>
      </w:r>
      <w:r>
        <w:br w:type="textWrapping"/>
      </w:r>
      <w:r>
        <w:t>2. 调用FpgaProtocol.__init__(...)创建串口对象</w:t>
      </w:r>
      <w:r>
        <w:br w:type="textWrapping"/>
      </w:r>
      <w:r>
        <w:t>3. 读取可能存在的启动日志（read_pending_text()）</w:t>
      </w:r>
      <w:r>
        <w:br w:type="textWrapping"/>
      </w:r>
      <w:r>
        <w:t>4. 发送VERSION命令查询固件版本</w:t>
      </w:r>
      <w:r>
        <w:br w:type="textWrapping"/>
      </w:r>
      <w:r>
        <w:t>5. 更新UI中的"固件版本"标签</w:t>
      </w:r>
      <w:r>
        <w:br w:type="textWrapping"/>
      </w:r>
      <w:r>
        <w:t>6. 将"打开串口"按钮变为"关闭串口"，禁用端口设置框</w:t>
      </w:r>
      <w:r>
        <w:br w:type="textWrapping"/>
      </w:r>
      <w:r>
        <w:br w:type="textWrapping"/>
      </w:r>
      <w:r>
        <w:t>关闭连接：销毁FpgaProtocol对象，恢复按钮状态。</w:t>
      </w:r>
    </w:p>
    <w:p w14:paraId="34120772">
      <w:pPr>
        <w:pStyle w:val="16"/>
      </w:pPr>
      <w:r>
        <w:t>4.7.4 手动寄存器读写功能</w:t>
      </w:r>
    </w:p>
    <w:p w14:paraId="6C371949">
      <w:r>
        <w:t>读寄存器流程（_manual_read_register()，gui.py第1552行）：获取用户输入的地址，调用FpgaProtocol.send_command()发送READ命令，将返回的32位数据以十六进制格式显示，并为32个比特位生成编辑框供用户逐位修改。</w:t>
      </w:r>
      <w:r>
        <w:br w:type="textWrapping"/>
      </w:r>
      <w:r>
        <w:br w:type="textWrapping"/>
      </w:r>
      <w:r>
        <w:t>写寄存器流程（_manual_write_register()）：获取用户输入的地址和数据，调用FpgaProtocol.send_command()发送WRITE命令，日志输出显示写入是否成功。</w:t>
      </w:r>
    </w:p>
    <w:p w14:paraId="36F0A947">
      <w:r>
        <w:rPr>
          <w:b/>
          <w:sz w:val="28"/>
        </w:rPr>
        <w:t>4.8 系统调试功能与优化设计</w:t>
      </w:r>
    </w:p>
    <w:p w14:paraId="57A297D6">
      <w:pPr>
        <w:pStyle w:val="16"/>
      </w:pPr>
      <w:r>
        <w:t>4.8.1 调试功能</w:t>
      </w:r>
    </w:p>
    <w:p w14:paraId="490CA025">
      <w:r>
        <w:t>系统提供了多层次的调试能力，支持快速定位问题和验证硬件功能：</w:t>
      </w:r>
      <w:r>
        <w:br w:type="textWrapping"/>
      </w:r>
      <w:r>
        <w:br w:type="textWrapping"/>
      </w:r>
      <w:r>
        <w:t>单步寄存器读写：通过"手动寄存器读写"标签页，用户可以指定任意32位地址，读取或写入单个寄存器值，显示读出值的十六进制表示和逐位状态。</w:t>
      </w:r>
      <w:r>
        <w:br w:type="textWrapping"/>
      </w:r>
      <w:r>
        <w:br w:type="textWrapping"/>
      </w:r>
      <w:r>
        <w:t>批量扫描：编写简单的Python脚本，利用FpgaProtocol的send_command()接口，可以快速扫描一段地址范围内的所有寄存器值。</w:t>
      </w:r>
      <w:r>
        <w:br w:type="textWrapping"/>
      </w:r>
      <w:r>
        <w:br w:type="textWrapping"/>
      </w:r>
      <w:r>
        <w:t>读回对比：写入某个值后立即读回，对比写入值与实际读出值是否一致。若不一致，可能表明寄存器地址错误或硬件模块未初始化。</w:t>
      </w:r>
      <w:r>
        <w:br w:type="textWrapping"/>
      </w:r>
      <w:r>
        <w:br w:type="textWrapping"/>
      </w:r>
      <w:r>
        <w:t>日志记录：GUI中的日志输出区实时显示每一次通信的原始帧数据（十六进制），便于离线分析。</w:t>
      </w:r>
      <w:r>
        <w:br w:type="textWrapping"/>
      </w:r>
      <w:r>
        <w:br w:type="textWrapping"/>
      </w:r>
      <w:r>
        <w:t>异常注入测试：可以修改上位机代码，在特定条件下故意构造错误的帧（如改变校验和、填充非法命令码），验证下位机的容错能力。</w:t>
      </w:r>
    </w:p>
    <w:p w14:paraId="0058CA7D">
      <w:pPr>
        <w:pStyle w:val="16"/>
      </w:pPr>
      <w:r>
        <w:t>4.8.2 性能优化</w:t>
      </w:r>
    </w:p>
    <w:p w14:paraId="70BBE2E2">
      <w:r>
        <w:t>波特率选择：系统默认使用115200 bps。若需要更高吞吐量，可以尝试提升到230400、460800甚至921600 bps。对于12字节的帧，115200 bps下单帧传输时间约为1.04ms，加上处理时间，单次请求-响应循环通常在5～10ms内完成，足以满足ISP参数实时调优的需求。</w:t>
      </w:r>
      <w:r>
        <w:br w:type="textWrapping"/>
      </w:r>
      <w:r>
        <w:br w:type="textWrapping"/>
      </w:r>
      <w:r>
        <w:t>数据打包优化：考虑到ISP有多个寄存器需要批量配置，可以扩展协议支持"批量写"命令，在一个请求中同时配置多个寄存器。这可以大幅减少往返延迟，提高调优效率。</w:t>
      </w:r>
      <w:r>
        <w:br w:type="textWrapping"/>
      </w:r>
      <w:r>
        <w:br w:type="textWrapping"/>
      </w:r>
      <w:r>
        <w:t>超时时间自适应：当前的超时值（timeout=1s、response_timeout=5s）是根据典型的硬件延迟估计的。在实际使用中，若观察到频繁的超时，可以检查硬件连接质量或增加超时时间的上界。</w:t>
      </w:r>
    </w:p>
    <w:p w14:paraId="32169EEE">
      <w:pPr>
        <w:pStyle w:val="16"/>
      </w:pPr>
      <w:r>
        <w:t>4.8.3 容错与日志记录</w:t>
      </w:r>
    </w:p>
    <w:p w14:paraId="19E7F31F">
      <w:r>
        <w:t>帧同步恢复：协议设计中，任何接收错误（帧尾错误、校验和失败）都导致状态机回到空闲态，等待下一个帧头。这意味着即使前一个帧完全损坏，只要后续的正确帧格式完整，通信就能自动恢复，无需手工重启。</w:t>
      </w:r>
      <w:r>
        <w:br w:type="textWrapping"/>
      </w:r>
      <w:r>
        <w:br w:type="textWrapping"/>
      </w:r>
      <w:r>
        <w:t>日志输出：上位机在send_command()和read_frame()中都有详细的日志打印，记录发送的原始帧、接收的原始帧、校验和验证结果、超时或异常情况。</w:t>
      </w:r>
      <w:r>
        <w:br w:type="textWrapping"/>
      </w:r>
      <w:r>
        <w:br w:type="textWrapping"/>
      </w:r>
      <w:r>
        <w:t>重试机制：虽然协议层不包含自动重试，但上位机可以在应用层捕获超时异常并重试，最多重试3次后若仍失败则报告错误。</w:t>
      </w:r>
    </w:p>
    <w:p w14:paraId="6B3BDE70">
      <w:r>
        <w:rPr>
          <w:b/>
          <w:sz w:val="28"/>
        </w:rPr>
        <w:t>4.9 本章小结</w:t>
      </w:r>
    </w:p>
    <w:p w14:paraId="2CDD8E54">
      <w:r>
        <w:t>本章详细阐述了面向ISP调优的嵌入式软件与通信协议的设计方法。</w:t>
      </w:r>
      <w:r>
        <w:br w:type="textWrapping"/>
      </w:r>
      <w:r>
        <w:br w:type="textWrapping"/>
      </w:r>
      <w:r>
        <w:t>主要设计成果：</w:t>
      </w:r>
      <w:r>
        <w:br w:type="textWrapping"/>
      </w:r>
      <w:r>
        <w:br w:type="textWrapping"/>
      </w:r>
      <w:r>
        <w:t>1. 四层分层架构：从应用层、协议层、驱动层到硬件层的清晰分工，使得各层职责独立，便于维护和扩展。</w:t>
      </w:r>
      <w:r>
        <w:br w:type="textWrapping"/>
      </w:r>
      <w:r>
        <w:br w:type="textWrapping"/>
      </w:r>
      <w:r>
        <w:t>2. 非阻塞轮询通信：相比中断驱动方案，轮询方式提供了更高的确定性和更低的复杂度，特别适合对实时性有一定要求但不是超高频的嵌入式应用。</w:t>
      </w:r>
      <w:r>
        <w:br w:type="textWrapping"/>
      </w:r>
      <w:r>
        <w:br w:type="textWrapping"/>
      </w:r>
      <w:r>
        <w:t>3. 12字节固定帧协议：简洁而可靠的帧结构，包含帧头、命令码、32位地址、32位数据、校验和、帧尾。采用大端字节序，支持读、写、版本查询三种命令，并通过累加和校验提供基本的错误检测能力。</w:t>
      </w:r>
      <w:r>
        <w:br w:type="textWrapping"/>
      </w:r>
      <w:r>
        <w:br w:type="textWrapping"/>
      </w:r>
      <w:r>
        <w:t>4. 6态接收状态机：完整的有限状态机设计，自动处理帧头同步、数据接收、验证、超时恢复等，确保了协议的健壮性。当发生任何错误时，状态机无条件回到空闲态，等待下一个正确的帧头，避免了长期卡死的情况。</w:t>
      </w:r>
      <w:r>
        <w:br w:type="textWrapping"/>
      </w:r>
      <w:r>
        <w:br w:type="textWrapping"/>
      </w:r>
      <w:r>
        <w:t>5. REG32宏统一寄存器访问：通过C语言宏提供的透明的32位读写接口，屏蔽了UART到APB总线的细节，使得命令执行层可以用一致的方式访问FPGA上的任意寄存器。</w:t>
      </w:r>
      <w:r>
        <w:br w:type="textWrapping"/>
      </w:r>
      <w:r>
        <w:br w:type="textWrapping"/>
      </w:r>
      <w:r>
        <w:t>6. 多功能GUI工具：基于tkinter的四标签页设计，分别支持单寄存器手工调试、ISP参数批量配置、预定义寄存器快速访问、引脚复用和输出路由设置，有效降低了用户的操作复杂度。</w:t>
      </w:r>
      <w:r>
        <w:br w:type="textWrapping"/>
      </w:r>
      <w:r>
        <w:br w:type="textWrapping"/>
      </w:r>
      <w:r>
        <w:t>7. 左右眼立体视觉支持：通过基地址切换（0x4001_B000 vs 0x4001_D000），上位机可以灵活地为左右眼的ISP独立配置参数，支持立体投影仪的调优需求。</w:t>
      </w:r>
      <w:r>
        <w:br w:type="textWrapping"/>
      </w:r>
      <w:r>
        <w:br w:type="textWrapping"/>
      </w:r>
      <w:r>
        <w:t>系统性能指标：</w:t>
      </w:r>
      <w:r>
        <w:br w:type="textWrapping"/>
      </w:r>
      <w:r>
        <w:t>• 单帧传输时间：~1.04ms（12字节@115200 bps）</w:t>
      </w:r>
      <w:r>
        <w:br w:type="textWrapping"/>
      </w:r>
      <w:r>
        <w:t>• 单次请求-响应延迟：5~10ms（包含处理和等待时间）</w:t>
      </w:r>
      <w:r>
        <w:br w:type="textWrapping"/>
      </w:r>
      <w:r>
        <w:t>• 超时恢复时间：&lt;100ms（状态机超时阈值）</w:t>
      </w:r>
      <w:r>
        <w:br w:type="textWrapping"/>
      </w:r>
      <w:r>
        <w:t>• 支持的最大寄存器地址空间：32位（4GB）</w:t>
      </w:r>
      <w:r>
        <w:br w:type="textWrapping"/>
      </w:r>
      <w:r>
        <w:t>• GUI响应延迟：&lt;1s（默认配置）</w:t>
      </w:r>
      <w:r>
        <w:br w:type="textWrapping"/>
      </w:r>
      <w:r>
        <w:br w:type="textWrapping"/>
      </w:r>
      <w:r>
        <w:t>后续改进方向：</w:t>
      </w:r>
      <w:r>
        <w:br w:type="textWrapping"/>
      </w:r>
      <w:r>
        <w:t>1. 扩展协议以支持批量操作</w:t>
      </w:r>
      <w:r>
        <w:br w:type="textWrapping"/>
      </w:r>
      <w:r>
        <w:t>2. 集成实时波形显示</w:t>
      </w:r>
      <w:r>
        <w:br w:type="textWrapping"/>
      </w:r>
      <w:r>
        <w:t>3. 硬件加速的校验机制</w:t>
      </w:r>
      <w:r>
        <w:br w:type="textWrapping"/>
      </w:r>
      <w:r>
        <w:t>4. 多设备支持</w:t>
      </w:r>
      <w:r>
        <w:br w:type="textWrapping"/>
      </w:r>
      <w:r>
        <w:t>5. 固件升级机制</w:t>
      </w:r>
      <w:r>
        <w:br w:type="textWrapping"/>
      </w:r>
      <w:r>
        <w:br w:type="textWrapping"/>
      </w:r>
      <w:r>
        <w:t>本系统通过精心设计的分层架构、简洁而可靠的通信协议和功能丰富的调试工具，提供了一个完整的解决方案，有效地支持了面向ISP的硬件调优和系统集成工作。轮询式驱动和状态机的组合确保了高可靠性，而模块化的设计使得系统易于理解、维护和扩展，为后续的功能增强奠定了坚实的基础。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56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892</Words>
  <Characters>1230</Characters>
  <Lines>0</Lines>
  <Paragraphs>0</Paragraphs>
  <TotalTime>5</TotalTime>
  <ScaleCrop>false</ScaleCrop>
  <LinksUpToDate>false</LinksUpToDate>
  <CharactersWithSpaces>1262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权华清</cp:lastModifiedBy>
  <dcterms:modified xsi:type="dcterms:W3CDTF">2026-04-30T05:30:17Z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eyJoZGlkIjoiNWQ0OTI3MjgzZjE4YmE2Y2EzOWNkZDJmMDg2MDI4ZjkiLCJ1c2VySWQiOiI4ODkzMzQxMTMifQ==</vt:lpwstr>
  </property>
  <property fmtid="{D5CDD505-2E9C-101B-9397-08002B2CF9AE}" pid="3" name="KSOProductBuildVer">
    <vt:lpwstr>2052-12.1.0.25860</vt:lpwstr>
  </property>
  <property fmtid="{D5CDD505-2E9C-101B-9397-08002B2CF9AE}" pid="4" name="ICV">
    <vt:lpwstr>C7D3559EBEEC40ACBD8E8DA03002D941_12</vt:lpwstr>
  </property>
</Properties>
</file>