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pPr w:leftFromText="180" w:rightFromText="180" w:vertAnchor="text" w:horzAnchor="margin" w:tblpXSpec="right" w:tblpY="18"/>
        <w:tblW w:w="2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0"/>
        <w:gridCol w:w="1210"/>
      </w:tblGrid>
      <w:tr w14:paraId="64529BA1">
        <w:trPr>
          <w:trHeight w:val="668" w:hRule="atLeast"/>
        </w:trPr>
        <w:tc>
          <w:tcPr>
            <w:tcW w:w="850" w:type="dxa"/>
            <w:vAlign w:val="center"/>
          </w:tcPr>
          <w:p w14:paraId="67AB757B">
            <w:pPr>
              <w:jc w:val="center"/>
              <w:rPr>
                <w:rFonts w:hint="eastAsia" w:ascii="宋体" w:hAnsi="宋体"/>
                <w:b/>
                <w:bCs/>
              </w:rPr>
            </w:pPr>
            <w:r>
              <w:rPr>
                <w:rFonts w:hint="eastAsia" w:ascii="宋体" w:hAnsi="宋体"/>
                <w:b/>
                <w:bCs/>
              </w:rPr>
              <w:t>成绩</w:t>
            </w:r>
          </w:p>
        </w:tc>
        <w:tc>
          <w:tcPr>
            <w:tcW w:w="1210" w:type="dxa"/>
            <w:vAlign w:val="center"/>
          </w:tcPr>
          <w:p w14:paraId="37C6E52C">
            <w:pPr>
              <w:jc w:val="center"/>
              <w:rPr>
                <w:rFonts w:hint="eastAsia" w:ascii="宋体" w:hAnsi="宋体"/>
                <w:b/>
                <w:bCs/>
              </w:rPr>
            </w:pPr>
          </w:p>
        </w:tc>
      </w:tr>
    </w:tbl>
    <w:p w14:paraId="502956BD">
      <w:r>
        <w:rPr>
          <w:rFonts w:hint="eastAsia"/>
        </w:rPr>
        <w:drawing>
          <wp:anchor distT="0" distB="0" distL="114300" distR="114300" simplePos="0" relativeHeight="251659264" behindDoc="1" locked="0" layoutInCell="1" allowOverlap="1">
            <wp:simplePos x="0" y="0"/>
            <wp:positionH relativeFrom="column">
              <wp:posOffset>716280</wp:posOffset>
            </wp:positionH>
            <wp:positionV relativeFrom="paragraph">
              <wp:posOffset>-42545</wp:posOffset>
            </wp:positionV>
            <wp:extent cx="1141730" cy="521970"/>
            <wp:effectExtent l="0" t="0" r="1270" b="0"/>
            <wp:wrapTight wrapText="bothSides">
              <wp:wrapPolygon>
                <wp:start x="0" y="0"/>
                <wp:lineTo x="0" y="20496"/>
                <wp:lineTo x="21264" y="20496"/>
                <wp:lineTo x="21264" y="0"/>
                <wp:lineTo x="0" y="0"/>
              </wp:wrapPolygon>
            </wp:wrapTight>
            <wp:docPr id="1" name="图片 1" descr="中北大学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中北大学6"/>
                    <pic:cNvPicPr>
                      <a:picLocks noChangeAspect="1"/>
                    </pic:cNvPicPr>
                  </pic:nvPicPr>
                  <pic:blipFill>
                    <a:blip r:embed="rId5" cstate="print"/>
                    <a:srcRect b="16732"/>
                    <a:stretch>
                      <a:fillRect/>
                    </a:stretch>
                  </pic:blipFill>
                  <pic:spPr>
                    <a:xfrm>
                      <a:off x="0" y="0"/>
                      <a:ext cx="1141730" cy="521970"/>
                    </a:xfrm>
                    <a:prstGeom prst="rect">
                      <a:avLst/>
                    </a:prstGeom>
                  </pic:spPr>
                </pic:pic>
              </a:graphicData>
            </a:graphic>
          </wp:anchor>
        </w:drawing>
      </w:r>
      <w:r>
        <w:rPr>
          <w:rFonts w:hint="eastAsia"/>
        </w:rPr>
        <w:drawing>
          <wp:anchor distT="0" distB="0" distL="114300" distR="114300" simplePos="0" relativeHeight="251661312" behindDoc="1" locked="0" layoutInCell="1" allowOverlap="1">
            <wp:simplePos x="0" y="0"/>
            <wp:positionH relativeFrom="column">
              <wp:posOffset>41910</wp:posOffset>
            </wp:positionH>
            <wp:positionV relativeFrom="paragraph">
              <wp:posOffset>-23495</wp:posOffset>
            </wp:positionV>
            <wp:extent cx="533400" cy="522605"/>
            <wp:effectExtent l="0" t="0" r="0" b="0"/>
            <wp:wrapTight wrapText="bothSides">
              <wp:wrapPolygon>
                <wp:start x="0" y="0"/>
                <wp:lineTo x="0" y="20471"/>
                <wp:lineTo x="20829" y="20471"/>
                <wp:lineTo x="20829" y="0"/>
                <wp:lineTo x="0" y="0"/>
              </wp:wrapPolygon>
            </wp:wrapTight>
            <wp:docPr id="7" name="图片 7" descr="中北大学校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中北大学校徽"/>
                    <pic:cNvPicPr>
                      <a:picLocks noChangeAspect="1"/>
                    </pic:cNvPicPr>
                  </pic:nvPicPr>
                  <pic:blipFill>
                    <a:blip r:embed="rId6" cstate="print"/>
                    <a:srcRect l="18926" t="13171" r="24088" b="8983"/>
                    <a:stretch>
                      <a:fillRect/>
                    </a:stretch>
                  </pic:blipFill>
                  <pic:spPr>
                    <a:xfrm>
                      <a:off x="0" y="0"/>
                      <a:ext cx="533400" cy="522605"/>
                    </a:xfrm>
                    <a:prstGeom prst="rect">
                      <a:avLst/>
                    </a:prstGeom>
                  </pic:spPr>
                </pic:pic>
              </a:graphicData>
            </a:graphic>
          </wp:anchor>
        </w:drawing>
      </w:r>
    </w:p>
    <w:p w14:paraId="5CF17609"/>
    <w:p w14:paraId="364A2E42"/>
    <w:p w14:paraId="56DD5E89">
      <w:pPr>
        <w:jc w:val="center"/>
        <w:rPr>
          <w:b/>
          <w:bCs/>
          <w:sz w:val="52"/>
          <w:szCs w:val="52"/>
        </w:rPr>
      </w:pPr>
      <w:r>
        <w:rPr>
          <w:rFonts w:hint="eastAsia"/>
          <w:b/>
          <w:bCs/>
          <w:sz w:val="52"/>
          <w:szCs w:val="52"/>
        </w:rPr>
        <w:t>半导体与物理学院实验报告</w:t>
      </w:r>
    </w:p>
    <w:p w14:paraId="05808F54">
      <w:pPr>
        <w:jc w:val="center"/>
        <w:rPr>
          <w:b/>
          <w:bCs/>
          <w:sz w:val="32"/>
          <w:szCs w:val="44"/>
        </w:rPr>
      </w:pPr>
    </w:p>
    <w:p w14:paraId="30075006">
      <w:pPr>
        <w:jc w:val="center"/>
        <w:rPr>
          <w:b/>
          <w:bCs/>
          <w:szCs w:val="52"/>
        </w:rPr>
      </w:pPr>
    </w:p>
    <w:p w14:paraId="2395CD19">
      <w:pPr>
        <w:rPr>
          <w:rFonts w:hint="default" w:eastAsiaTheme="minorEastAsia"/>
          <w:sz w:val="28"/>
          <w:szCs w:val="32"/>
          <w:lang w:val="en-US" w:eastAsia="zh-CN"/>
        </w:rPr>
      </w:pPr>
      <w:r>
        <w:rPr>
          <w:rFonts w:hint="eastAsia"/>
          <w:sz w:val="28"/>
          <w:szCs w:val="32"/>
        </w:rPr>
        <w:t>班级：22190241</w:t>
      </w:r>
      <w:r>
        <w:rPr>
          <w:sz w:val="28"/>
          <w:szCs w:val="32"/>
        </w:rPr>
        <w:t xml:space="preserve">             </w:t>
      </w:r>
      <w:r>
        <w:rPr>
          <w:rFonts w:hint="eastAsia"/>
          <w:sz w:val="28"/>
          <w:szCs w:val="32"/>
        </w:rPr>
        <w:t>学号：2206040</w:t>
      </w:r>
      <w:r>
        <w:rPr>
          <w:rFonts w:hint="eastAsia"/>
          <w:sz w:val="28"/>
          <w:szCs w:val="32"/>
          <w:lang w:val="en-US" w:eastAsia="zh-CN"/>
        </w:rPr>
        <w:t>245</w:t>
      </w:r>
      <w:r>
        <w:rPr>
          <w:rFonts w:hint="eastAsia"/>
          <w:sz w:val="28"/>
          <w:szCs w:val="32"/>
        </w:rPr>
        <w:t xml:space="preserve">     </w:t>
      </w:r>
      <w:r>
        <w:rPr>
          <w:sz w:val="28"/>
          <w:szCs w:val="32"/>
        </w:rPr>
        <w:t xml:space="preserve">  </w:t>
      </w:r>
      <w:r>
        <w:rPr>
          <w:rFonts w:hint="eastAsia"/>
          <w:sz w:val="28"/>
          <w:szCs w:val="32"/>
        </w:rPr>
        <w:t>学生姓名：</w:t>
      </w:r>
      <w:r>
        <w:rPr>
          <w:rFonts w:hint="eastAsia"/>
          <w:sz w:val="32"/>
          <w:szCs w:val="36"/>
        </w:rPr>
        <w:t>李</w:t>
      </w:r>
      <w:r>
        <w:rPr>
          <w:rFonts w:hint="eastAsia"/>
          <w:sz w:val="32"/>
          <w:szCs w:val="36"/>
          <w:lang w:val="en-US" w:eastAsia="zh-CN"/>
        </w:rPr>
        <w:t>泉胜</w:t>
      </w:r>
      <w:bookmarkStart w:id="0" w:name="_GoBack"/>
      <w:bookmarkEnd w:id="0"/>
    </w:p>
    <w:p w14:paraId="44EA0688">
      <w:pPr>
        <w:spacing w:before="312" w:beforeLines="100"/>
        <w:jc w:val="center"/>
        <w:rPr>
          <w:b/>
          <w:bCs/>
          <w:sz w:val="36"/>
          <w:szCs w:val="44"/>
        </w:rPr>
      </w:pPr>
      <w:r>
        <w:rPr>
          <w:b/>
          <w:bCs/>
          <w:sz w:val="36"/>
          <w:szCs w:val="44"/>
        </w:rPr>
        <mc:AlternateContent>
          <mc:Choice Requires="wps">
            <w:drawing>
              <wp:anchor distT="0" distB="0" distL="114300" distR="114300" simplePos="0" relativeHeight="251662336" behindDoc="0" locked="0" layoutInCell="1" allowOverlap="1">
                <wp:simplePos x="0" y="0"/>
                <wp:positionH relativeFrom="column">
                  <wp:posOffset>-17145</wp:posOffset>
                </wp:positionH>
                <wp:positionV relativeFrom="paragraph">
                  <wp:posOffset>99695</wp:posOffset>
                </wp:positionV>
                <wp:extent cx="6078855" cy="0"/>
                <wp:effectExtent l="0" t="0" r="0" b="0"/>
                <wp:wrapNone/>
                <wp:docPr id="10" name="直接连接符 4"/>
                <wp:cNvGraphicFramePr/>
                <a:graphic xmlns:a="http://schemas.openxmlformats.org/drawingml/2006/main">
                  <a:graphicData uri="http://schemas.microsoft.com/office/word/2010/wordprocessingShape">
                    <wps:wsp>
                      <wps:cNvCnPr/>
                      <wps:spPr>
                        <a:xfrm>
                          <a:off x="0" y="0"/>
                          <a:ext cx="6078855"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4" o:spid="_x0000_s1026" o:spt="20" style="position:absolute;left:0pt;margin-left:-1.35pt;margin-top:7.85pt;height:0pt;width:478.65pt;z-index:251662336;mso-width-relative:page;mso-height-relative:page;" filled="f" stroked="t" coordsize="21600,21600" o:gfxdata="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ehuhG2QAA&#10;AAgBAAAPAAAAAAAAAAEAIAAAACIAAABkcnMvZG93bnJldi54bWxQSwECFAAUAAAACACHTuJAKhHM&#10;JeQBAACzAwAADgAAAAAAAAABACAAAAAoAQAAZHJzL2Uyb0RvYy54bWxQSwUGAAAAAAYABgBZAQAA&#10;fgUAAAAA&#10;">
                <v:fill on="f" focussize="0,0"/>
                <v:stroke weight="1.5pt" color="#000000 [3200]" miterlimit="8" joinstyle="miter"/>
                <v:imagedata o:title=""/>
                <o:lock v:ext="edit" aspectratio="f"/>
              </v:line>
            </w:pict>
          </mc:Fallback>
        </mc:AlternateContent>
      </w:r>
      <w:r>
        <w:rPr>
          <w:rFonts w:hint="eastAsia"/>
          <w:b/>
          <w:bCs/>
          <w:sz w:val="36"/>
          <w:szCs w:val="44"/>
        </w:rPr>
        <w:t>实验(四)</w:t>
      </w:r>
    </w:p>
    <w:p w14:paraId="61097010">
      <w:pPr>
        <w:numPr>
          <w:ilvl w:val="0"/>
          <w:numId w:val="1"/>
        </w:numPr>
        <w:rPr>
          <w:rFonts w:hint="eastAsia" w:ascii="黑体" w:hAnsi="黑体" w:eastAsia="黑体"/>
          <w:sz w:val="32"/>
          <w:szCs w:val="36"/>
        </w:rPr>
      </w:pPr>
      <w:r>
        <w:rPr>
          <w:rFonts w:hint="eastAsia" w:ascii="黑体" w:hAnsi="黑体" w:eastAsia="黑体"/>
          <w:sz w:val="32"/>
          <w:szCs w:val="36"/>
        </w:rPr>
        <w:t>实验目的</w:t>
      </w:r>
    </w:p>
    <w:p w14:paraId="421CFBCA">
      <w:pPr>
        <w:pStyle w:val="8"/>
        <w:spacing w:line="360" w:lineRule="auto"/>
        <w:ind w:left="420" w:firstLine="0" w:firstLineChars="0"/>
        <w:rPr>
          <w:sz w:val="24"/>
        </w:rPr>
      </w:pPr>
    </w:p>
    <w:p w14:paraId="6CF45663">
      <w:pPr>
        <w:pStyle w:val="8"/>
        <w:spacing w:line="360" w:lineRule="auto"/>
        <w:ind w:left="420" w:firstLine="0" w:firstLineChars="0"/>
        <w:rPr>
          <w:sz w:val="24"/>
        </w:rPr>
      </w:pPr>
      <w:r>
        <w:rPr>
          <w:rFonts w:hint="eastAsia"/>
          <w:sz w:val="24"/>
        </w:rPr>
        <w:t>1. 使用IECUBE-3100测量输入漏电流和失调电压两个参数。</w:t>
      </w:r>
    </w:p>
    <w:p w14:paraId="74A30448">
      <w:pPr>
        <w:pStyle w:val="8"/>
        <w:spacing w:line="360" w:lineRule="auto"/>
        <w:ind w:left="420" w:firstLine="0" w:firstLineChars="0"/>
        <w:rPr>
          <w:sz w:val="24"/>
        </w:rPr>
      </w:pPr>
      <w:r>
        <w:rPr>
          <w:rFonts w:hint="eastAsia"/>
          <w:sz w:val="24"/>
        </w:rPr>
        <w:t>2. 掌握子程序的创建和调用，简化VI框图程序结构，形成模块化的编程思想。使用</w:t>
      </w:r>
      <w:r>
        <w:rPr>
          <w:sz w:val="24"/>
        </w:rPr>
        <w:t>IECUBE-3100</w:t>
      </w:r>
      <w:r>
        <w:rPr>
          <w:rFonts w:hint="eastAsia"/>
          <w:sz w:val="24"/>
        </w:rPr>
        <w:t>测量增益（GAIN）参数。</w:t>
      </w:r>
    </w:p>
    <w:p w14:paraId="2CE822C9">
      <w:pPr>
        <w:pStyle w:val="8"/>
        <w:spacing w:line="360" w:lineRule="auto"/>
        <w:ind w:left="420" w:firstLine="0" w:firstLineChars="0"/>
        <w:rPr>
          <w:sz w:val="24"/>
        </w:rPr>
      </w:pPr>
      <w:r>
        <w:rPr>
          <w:rFonts w:hint="eastAsia"/>
          <w:sz w:val="24"/>
        </w:rPr>
        <w:t>3. 熟练掌握LabVIEW的基本数据类型及操作。使用</w:t>
      </w:r>
      <w:r>
        <w:rPr>
          <w:sz w:val="24"/>
        </w:rPr>
        <w:t xml:space="preserve"> IECUBE-3100</w:t>
      </w:r>
      <w:r>
        <w:rPr>
          <w:rFonts w:hint="eastAsia"/>
          <w:sz w:val="24"/>
        </w:rPr>
        <w:t>测量共模抑制比（CMRR）参数。</w:t>
      </w:r>
    </w:p>
    <w:p w14:paraId="608B50C2">
      <w:pPr>
        <w:pStyle w:val="8"/>
        <w:spacing w:line="360" w:lineRule="auto"/>
        <w:ind w:left="420" w:firstLine="0" w:firstLineChars="0"/>
        <w:rPr>
          <w:sz w:val="24"/>
        </w:rPr>
      </w:pPr>
      <w:r>
        <w:rPr>
          <w:rFonts w:hint="eastAsia"/>
          <w:sz w:val="24"/>
        </w:rPr>
        <w:t>4. 使用</w:t>
      </w:r>
      <w:r>
        <w:rPr>
          <w:sz w:val="24"/>
        </w:rPr>
        <w:t>IECUBE-3100</w:t>
      </w:r>
      <w:r>
        <w:rPr>
          <w:rFonts w:hint="eastAsia"/>
          <w:sz w:val="24"/>
        </w:rPr>
        <w:t>测量电源抑制比（PSRR）参数。</w:t>
      </w:r>
    </w:p>
    <w:p w14:paraId="5BA61737">
      <w:pPr>
        <w:pStyle w:val="8"/>
        <w:spacing w:line="360" w:lineRule="auto"/>
        <w:ind w:left="420" w:firstLine="0" w:firstLineChars="0"/>
        <w:rPr>
          <w:sz w:val="24"/>
        </w:rPr>
      </w:pPr>
      <w:r>
        <w:rPr>
          <w:rFonts w:hint="eastAsia"/>
          <w:sz w:val="24"/>
        </w:rPr>
        <w:t>5. 使用</w:t>
      </w:r>
      <w:r>
        <w:rPr>
          <w:sz w:val="24"/>
        </w:rPr>
        <w:t>IECUBE-3100</w:t>
      </w:r>
      <w:r>
        <w:rPr>
          <w:rFonts w:hint="eastAsia"/>
          <w:sz w:val="24"/>
        </w:rPr>
        <w:t>测量压摆率（Slew Rate）参数。</w:t>
      </w:r>
    </w:p>
    <w:p w14:paraId="0DD572AC">
      <w:pPr>
        <w:pStyle w:val="8"/>
        <w:spacing w:line="360" w:lineRule="auto"/>
        <w:ind w:left="420" w:firstLine="0" w:firstLineChars="0"/>
        <w:rPr>
          <w:sz w:val="24"/>
        </w:rPr>
      </w:pPr>
    </w:p>
    <w:p w14:paraId="509CF438">
      <w:pPr>
        <w:pStyle w:val="8"/>
        <w:spacing w:line="360" w:lineRule="auto"/>
        <w:ind w:left="420" w:firstLine="0" w:firstLineChars="0"/>
        <w:rPr>
          <w:sz w:val="24"/>
        </w:rPr>
      </w:pPr>
    </w:p>
    <w:p w14:paraId="3051E9FA">
      <w:pPr>
        <w:numPr>
          <w:ilvl w:val="0"/>
          <w:numId w:val="1"/>
        </w:numPr>
        <w:rPr>
          <w:rFonts w:hint="eastAsia" w:ascii="黑体" w:hAnsi="黑体" w:eastAsia="黑体"/>
          <w:sz w:val="32"/>
          <w:szCs w:val="36"/>
        </w:rPr>
      </w:pPr>
      <w:r>
        <w:rPr>
          <w:rFonts w:hint="eastAsia" w:ascii="黑体" w:hAnsi="黑体" w:eastAsia="黑体"/>
          <w:sz w:val="32"/>
          <w:szCs w:val="36"/>
        </w:rPr>
        <w:t>实验内容及原理</w:t>
      </w:r>
    </w:p>
    <w:p w14:paraId="431CF726">
      <w:pPr>
        <w:widowControl/>
        <w:spacing w:line="360" w:lineRule="auto"/>
        <w:ind w:firstLine="480" w:firstLineChars="200"/>
        <w:jc w:val="left"/>
        <w:rPr>
          <w:rFonts w:ascii="Arial" w:hAnsi="Arial" w:eastAsia="宋体" w:cs="Arial"/>
          <w:color w:val="1F2329"/>
          <w:kern w:val="0"/>
          <w:sz w:val="24"/>
        </w:rPr>
      </w:pPr>
      <w:r>
        <w:rPr>
          <w:rFonts w:ascii="Arial" w:hAnsi="Arial" w:eastAsia="宋体" w:cs="Arial"/>
          <w:color w:val="1F2329"/>
          <w:kern w:val="0"/>
          <w:sz w:val="24"/>
        </w:rPr>
        <w:t>直流特性参数反映运放静态工作状态下的性能，是保障直流信号精度的关键。核心包括输入失调电压（Vos）、输入偏置电流（Ib）、输入失调电流（Ios）和输出摆幅（Vom）。Vos 是输出为零时输入端需施加的补偿电压，源于输入级差分对管的特性不匹配，测试时通过闭环放大电路放大微小失调量以精准测量；Ib 和 Ios 分别反映输入端的平均电流和两输入端电流差值，测试需借助输入回路电阻的电压降计算，其数值越小，运放对高阻抗信号源和不对称输入电阻的敏感度越低；Vom 则是特定电源电压下输出无削波失真的最大电压范围，测试通过输入缓慢变化的波形并观察输出失真临界点确定，分轨到轨和非轨到轨两种类型，直接影响电路动态范围。</w:t>
      </w:r>
    </w:p>
    <w:p w14:paraId="022222E6">
      <w:pPr>
        <w:widowControl/>
        <w:spacing w:line="360" w:lineRule="auto"/>
        <w:ind w:firstLine="480" w:firstLineChars="200"/>
        <w:jc w:val="left"/>
        <w:rPr>
          <w:rFonts w:ascii="Arial" w:hAnsi="Arial" w:eastAsia="宋体" w:cs="Arial"/>
          <w:color w:val="1F2329"/>
          <w:kern w:val="0"/>
          <w:sz w:val="24"/>
        </w:rPr>
      </w:pPr>
      <w:r>
        <w:rPr>
          <w:rFonts w:ascii="Arial" w:hAnsi="Arial" w:eastAsia="宋体" w:cs="Arial"/>
          <w:color w:val="1F2329"/>
          <w:kern w:val="0"/>
          <w:sz w:val="24"/>
        </w:rPr>
        <w:t>交流特性参数聚焦运放处理动态信号的能力，决定其对高频、快速变化信号的适配性。关键参数有开环增益（Aol）、单位增益带宽（GBW）、转换速率（SR）、共模抑制比（CMRR）和电源抑制比（PSRR）。Aol 是开环状态下输出与输入差分电压的比值，测试通过施加微小差分信号并测量输出幅值计算，数值越大，闭环电路的增益精度和线性度越好；GBW 是开环增益降至 1 倍时的频率，通过单位增益闭环电路和扫频信号测试，反映运放处理高频信号的极限；SR 体现输出电压的最大变化率，测试需输入阶跃信号并测量输出上升沿斜率，过小会导致高频大信号失真；CMRR 和 PSRR 分别衡量运放抑制共模干扰和电源电压波动的能力，前者通过差分放大电路输入共模信号测试，后者通过改变电源电压并观察输出变化量计算，两者数值越大，运放的抗干扰能力越强。</w:t>
      </w:r>
    </w:p>
    <w:p w14:paraId="72A1936A">
      <w:pPr>
        <w:widowControl/>
        <w:spacing w:line="360" w:lineRule="auto"/>
        <w:ind w:firstLine="480" w:firstLineChars="200"/>
        <w:jc w:val="left"/>
        <w:rPr>
          <w:rFonts w:ascii="Arial" w:hAnsi="Arial" w:eastAsia="宋体" w:cs="Arial"/>
          <w:color w:val="1F2329"/>
          <w:kern w:val="0"/>
          <w:sz w:val="24"/>
        </w:rPr>
      </w:pPr>
      <w:r>
        <w:rPr>
          <w:rFonts w:ascii="Arial" w:hAnsi="Arial" w:eastAsia="宋体" w:cs="Arial"/>
          <w:color w:val="1F2329"/>
          <w:kern w:val="0"/>
          <w:sz w:val="24"/>
        </w:rPr>
        <w:t>极限特性参数定义了运放的安全工作边界，是保障电路可靠性的基础。主要包括电源电压范围（Vcc）、最大输出电流（Iout (max)）和工作温度范围（Toperating）。Vcc 是运放正常工作的电源电压区间，测试通过调整电源电压并观察输出稳定性确定，超出范围会导致性能恶化或损坏；Iout (max) 是输出端可提供或吸收的最大电流，测试通过输出接负载电阻并逐步增大输入信号，记录输出电压开始下降时的电流值，普通运放通常为 10~100mA，功率运放可达数 A；工作温度范围分商用级、工业级和军品级，通过高低温箱模拟不同环境温度并测试参数稳定性确定，需根据应用场景选择适配等级，超出范围会导致参数漂移过大甚至失效。</w:t>
      </w:r>
    </w:p>
    <w:p w14:paraId="3BA13CC0">
      <w:pPr>
        <w:widowControl/>
        <w:spacing w:line="360" w:lineRule="auto"/>
        <w:ind w:firstLine="480" w:firstLineChars="200"/>
        <w:jc w:val="left"/>
        <w:rPr>
          <w:rFonts w:ascii="Arial" w:hAnsi="Arial" w:eastAsia="宋体" w:cs="Arial"/>
          <w:color w:val="1F2329"/>
          <w:kern w:val="0"/>
          <w:sz w:val="24"/>
        </w:rPr>
      </w:pPr>
      <w:r>
        <w:rPr>
          <w:rFonts w:ascii="Arial" w:hAnsi="Arial" w:eastAsia="宋体" w:cs="Arial"/>
          <w:color w:val="1F2329"/>
          <w:kern w:val="0"/>
          <w:sz w:val="24"/>
        </w:rPr>
        <w:t>整体来看，运放参数的测试逻辑统一遵循 “施加标准信号→测量输出响应→计算参数值”，且多数需借助闭环电路放大微小偏差以保障测量精度。直流参数决定静态精度，交流参数影响动态性能，极限参数界定安全边界，实际选型需根据电路功能（如信号频率、精度要求、工作环境）针对性权衡各类参数。</w:t>
      </w:r>
    </w:p>
    <w:p w14:paraId="7BE65E71">
      <w:pPr>
        <w:numPr>
          <w:ilvl w:val="0"/>
          <w:numId w:val="1"/>
        </w:numPr>
        <w:rPr>
          <w:rFonts w:hint="eastAsia" w:ascii="黑体" w:hAnsi="黑体" w:eastAsia="黑体"/>
          <w:sz w:val="32"/>
          <w:szCs w:val="36"/>
        </w:rPr>
      </w:pPr>
      <w:r>
        <w:rPr>
          <w:rFonts w:hint="eastAsia" w:ascii="黑体" w:hAnsi="黑体" w:eastAsia="黑体"/>
          <w:sz w:val="32"/>
          <w:szCs w:val="36"/>
        </w:rPr>
        <w:t>实验步骤或</w:t>
      </w:r>
      <w:r>
        <w:rPr>
          <w:rFonts w:ascii="黑体" w:hAnsi="黑体" w:eastAsia="黑体"/>
          <w:sz w:val="32"/>
          <w:szCs w:val="36"/>
        </w:rPr>
        <w:t>程序流程</w:t>
      </w:r>
    </w:p>
    <w:p w14:paraId="7414DAB8">
      <w:pPr>
        <w:widowControl/>
        <w:shd w:val="clear" w:color="auto" w:fill="FFFFFF"/>
        <w:spacing w:line="360" w:lineRule="auto"/>
        <w:ind w:firstLine="480" w:firstLineChars="200"/>
        <w:jc w:val="left"/>
        <w:rPr>
          <w:rFonts w:ascii="Segoe UI" w:hAnsi="Segoe UI" w:eastAsia="宋体" w:cs="Segoe UI"/>
          <w:color w:val="000000"/>
          <w:kern w:val="0"/>
          <w:sz w:val="24"/>
        </w:rPr>
      </w:pPr>
      <w:r>
        <w:rPr>
          <w:rFonts w:ascii="Segoe UI" w:hAnsi="Segoe UI" w:eastAsia="宋体" w:cs="Segoe UI"/>
          <w:color w:val="000000"/>
          <w:kern w:val="0"/>
          <w:sz w:val="24"/>
        </w:rPr>
        <w:t>运放各特性参数的测试可按直流、交流、极限三类简化操作。直流参数测试中，输入失调电压需将运放接闭环同相放大电路（增益 1000 倍），输入端短接后测输出直流电压，除以增益即得；输入偏置电流通过同相端串 100kΩ 电阻接地、接电压跟随器，测量电阻两端电压后换算；输出摆幅则接同相放大（增益 1），输入 1kHz 三角波，通过示波器记录未削波的最大正负电压。交流参数测试时，单位增益带宽需运放接电压跟随器，输入正弦波并升高频率，输出降至低频 0.707 倍时的频率即为结果；转换速率同样用电压跟随器，输入高速阶跃信号后，示波器测量输出上升沿线性段斜率；共模抑制比需搭建差分放大电路（增益 100），输入共模信号并算出共模增益，再结合差模增益换算。极限参数测试中，电源电压范围通过逐步调整电压、观察输出稳定性确定；最大输出电流可在输出端接 1kΩ 负载，增大输入信号至输出电压下降 5%，此时电流即为最大值；工作温度范围则需在高低温箱内不同温度点恒温后，测试参数合格的区间。测试前校准仪器、减少环境干扰，即可保障结果可靠性。</w:t>
      </w:r>
    </w:p>
    <w:p w14:paraId="3A749FF4">
      <w:pPr>
        <w:numPr>
          <w:ilvl w:val="0"/>
          <w:numId w:val="1"/>
        </w:numPr>
        <w:rPr>
          <w:rFonts w:hint="eastAsia" w:ascii="黑体" w:hAnsi="黑体" w:eastAsia="黑体"/>
          <w:sz w:val="32"/>
          <w:szCs w:val="36"/>
        </w:rPr>
      </w:pPr>
      <w:r>
        <w:rPr>
          <w:rFonts w:hint="eastAsia" w:ascii="黑体" w:hAnsi="黑体" w:eastAsia="黑体"/>
          <w:sz w:val="32"/>
          <w:szCs w:val="36"/>
        </w:rPr>
        <w:t>实验数据分析及处理</w:t>
      </w:r>
    </w:p>
    <w:p w14:paraId="3D75B802">
      <w:pPr>
        <w:pStyle w:val="8"/>
        <w:spacing w:line="360" w:lineRule="auto"/>
        <w:ind w:left="420" w:firstLine="0" w:firstLineChars="0"/>
        <w:rPr>
          <w:color w:val="FF0000"/>
          <w:sz w:val="24"/>
        </w:rPr>
      </w:pPr>
      <w:r>
        <w:rPr>
          <w:color w:val="FF0000"/>
          <w:sz w:val="24"/>
        </w:rPr>
        <w:drawing>
          <wp:inline distT="0" distB="0" distL="0" distR="0">
            <wp:extent cx="2653665" cy="1563370"/>
            <wp:effectExtent l="0" t="0" r="0" b="0"/>
            <wp:docPr id="28907944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079446" name="图片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678907" cy="1578200"/>
                    </a:xfrm>
                    <a:prstGeom prst="rect">
                      <a:avLst/>
                    </a:prstGeom>
                    <a:noFill/>
                    <a:ln>
                      <a:noFill/>
                    </a:ln>
                  </pic:spPr>
                </pic:pic>
              </a:graphicData>
            </a:graphic>
          </wp:inline>
        </w:drawing>
      </w:r>
      <w:r>
        <w:rPr>
          <w:color w:val="FF0000"/>
          <w:sz w:val="24"/>
        </w:rPr>
        <w:drawing>
          <wp:inline distT="0" distB="0" distL="0" distR="0">
            <wp:extent cx="2683510" cy="1575435"/>
            <wp:effectExtent l="0" t="0" r="2540" b="5715"/>
            <wp:docPr id="108214395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143959" name="图片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695598" cy="1582747"/>
                    </a:xfrm>
                    <a:prstGeom prst="rect">
                      <a:avLst/>
                    </a:prstGeom>
                    <a:noFill/>
                    <a:ln>
                      <a:noFill/>
                    </a:ln>
                  </pic:spPr>
                </pic:pic>
              </a:graphicData>
            </a:graphic>
          </wp:inline>
        </w:drawing>
      </w:r>
    </w:p>
    <w:p w14:paraId="558ACA12">
      <w:pPr>
        <w:pStyle w:val="8"/>
        <w:spacing w:line="360" w:lineRule="auto"/>
        <w:ind w:left="420" w:firstLine="0" w:firstLineChars="0"/>
        <w:rPr>
          <w:color w:val="FF0000"/>
          <w:sz w:val="24"/>
        </w:rPr>
      </w:pPr>
      <w:r>
        <w:rPr>
          <w:color w:val="FF0000"/>
          <w:sz w:val="24"/>
        </w:rPr>
        <w:drawing>
          <wp:inline distT="0" distB="0" distL="0" distR="0">
            <wp:extent cx="2664460" cy="1569720"/>
            <wp:effectExtent l="0" t="0" r="2540" b="0"/>
            <wp:docPr id="165184457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844573" name="图片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2687085" cy="1583018"/>
                    </a:xfrm>
                    <a:prstGeom prst="rect">
                      <a:avLst/>
                    </a:prstGeom>
                    <a:noFill/>
                    <a:ln>
                      <a:noFill/>
                    </a:ln>
                  </pic:spPr>
                </pic:pic>
              </a:graphicData>
            </a:graphic>
          </wp:inline>
        </w:drawing>
      </w:r>
      <w:r>
        <w:rPr>
          <w:color w:val="FF0000"/>
          <w:sz w:val="24"/>
        </w:rPr>
        <w:drawing>
          <wp:inline distT="0" distB="0" distL="0" distR="0">
            <wp:extent cx="2689225" cy="1590040"/>
            <wp:effectExtent l="0" t="0" r="0" b="0"/>
            <wp:docPr id="64693328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933285" name="图片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2710534" cy="1602499"/>
                    </a:xfrm>
                    <a:prstGeom prst="rect">
                      <a:avLst/>
                    </a:prstGeom>
                    <a:noFill/>
                    <a:ln>
                      <a:noFill/>
                    </a:ln>
                  </pic:spPr>
                </pic:pic>
              </a:graphicData>
            </a:graphic>
          </wp:inline>
        </w:drawing>
      </w:r>
    </w:p>
    <w:p w14:paraId="7FEC42E4">
      <w:pPr>
        <w:pStyle w:val="8"/>
        <w:spacing w:line="360" w:lineRule="auto"/>
        <w:ind w:left="420" w:firstLine="0" w:firstLineChars="0"/>
        <w:rPr>
          <w:color w:val="FF0000"/>
          <w:sz w:val="24"/>
        </w:rPr>
      </w:pPr>
      <w:r>
        <w:rPr>
          <w:color w:val="FF0000"/>
          <w:sz w:val="24"/>
        </w:rPr>
        <w:drawing>
          <wp:inline distT="0" distB="0" distL="0" distR="0">
            <wp:extent cx="2668905" cy="1579880"/>
            <wp:effectExtent l="0" t="0" r="0" b="1270"/>
            <wp:docPr id="2153675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36750" name="图片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2700265" cy="1598390"/>
                    </a:xfrm>
                    <a:prstGeom prst="rect">
                      <a:avLst/>
                    </a:prstGeom>
                    <a:noFill/>
                    <a:ln>
                      <a:noFill/>
                    </a:ln>
                  </pic:spPr>
                </pic:pic>
              </a:graphicData>
            </a:graphic>
          </wp:inline>
        </w:drawing>
      </w:r>
    </w:p>
    <w:p w14:paraId="70BFE4FE">
      <w:pPr>
        <w:pStyle w:val="8"/>
        <w:spacing w:line="360" w:lineRule="auto"/>
        <w:ind w:left="420" w:firstLine="0" w:firstLineChars="0"/>
        <w:rPr>
          <w:sz w:val="24"/>
        </w:rPr>
      </w:pPr>
      <w:r>
        <w:rPr>
          <w:rFonts w:hint="eastAsia"/>
          <w:sz w:val="24"/>
        </w:rPr>
        <w:t>5.1根据各特性参数测试结果图计算提取各特性参数的值（可以表格形式呈现），步骤及结果如下：</w:t>
      </w:r>
    </w:p>
    <w:p w14:paraId="30A9A1B1">
      <w:pPr>
        <w:pStyle w:val="8"/>
        <w:spacing w:line="360" w:lineRule="auto"/>
        <w:ind w:left="420" w:firstLine="0" w:firstLineChars="0"/>
        <w:rPr>
          <w:rFonts w:ascii="Times New Roman" w:hAnsi="Times New Roman" w:cs="Times New Roman"/>
          <w:sz w:val="24"/>
        </w:rPr>
      </w:pPr>
      <w:r>
        <w:rPr>
          <w:rFonts w:ascii="Times New Roman" w:hAnsi="Times New Roman" w:cs="Times New Roman"/>
          <w:sz w:val="24"/>
        </w:rPr>
        <w:t>输入失调电压（Vos）0.002903V</w:t>
      </w:r>
    </w:p>
    <w:p w14:paraId="5CF50A8E">
      <w:pPr>
        <w:pStyle w:val="8"/>
        <w:spacing w:line="360" w:lineRule="auto"/>
        <w:ind w:left="420" w:firstLine="0" w:firstLineChars="0"/>
        <w:rPr>
          <w:rFonts w:ascii="Times New Roman" w:hAnsi="Times New Roman" w:cs="Times New Roman"/>
          <w:sz w:val="24"/>
        </w:rPr>
      </w:pPr>
      <w:r>
        <w:rPr>
          <w:rFonts w:ascii="Times New Roman" w:hAnsi="Times New Roman" w:cs="Times New Roman"/>
          <w:sz w:val="24"/>
        </w:rPr>
        <w:t>输入偏置电流（Iin_bias）0.4μA</w:t>
      </w:r>
    </w:p>
    <w:p w14:paraId="6554DA0E">
      <w:pPr>
        <w:pStyle w:val="8"/>
        <w:spacing w:line="360" w:lineRule="auto"/>
        <w:ind w:left="420" w:firstLine="0" w:firstLineChars="0"/>
        <w:rPr>
          <w:rFonts w:ascii="Times New Roman" w:hAnsi="Times New Roman" w:cs="Times New Roman"/>
          <w:sz w:val="24"/>
        </w:rPr>
      </w:pPr>
      <w:r>
        <w:rPr>
          <w:rFonts w:ascii="Times New Roman" w:hAnsi="Times New Roman" w:cs="Times New Roman"/>
          <w:sz w:val="24"/>
        </w:rPr>
        <w:t>输入平均电流（Iin_mean）84.47μA</w:t>
      </w:r>
    </w:p>
    <w:p w14:paraId="0756ED82">
      <w:pPr>
        <w:pStyle w:val="8"/>
        <w:spacing w:line="360" w:lineRule="auto"/>
        <w:ind w:left="420" w:firstLine="0" w:firstLineChars="0"/>
        <w:rPr>
          <w:rFonts w:ascii="Times New Roman" w:hAnsi="Times New Roman" w:cs="Times New Roman"/>
          <w:sz w:val="24"/>
        </w:rPr>
      </w:pPr>
      <w:r>
        <w:rPr>
          <w:rFonts w:ascii="Times New Roman" w:hAnsi="Times New Roman" w:cs="Times New Roman"/>
          <w:sz w:val="24"/>
        </w:rPr>
        <w:t>开环增益（Gain）1.821</w:t>
      </w:r>
    </w:p>
    <w:p w14:paraId="7F7E31B5">
      <w:pPr>
        <w:pStyle w:val="8"/>
        <w:spacing w:line="360" w:lineRule="auto"/>
        <w:ind w:left="420" w:firstLine="0" w:firstLineChars="0"/>
        <w:rPr>
          <w:rFonts w:ascii="Times New Roman" w:hAnsi="Times New Roman" w:cs="Times New Roman"/>
          <w:sz w:val="24"/>
        </w:rPr>
      </w:pPr>
      <w:r>
        <w:rPr>
          <w:rFonts w:ascii="Times New Roman" w:hAnsi="Times New Roman" w:cs="Times New Roman"/>
          <w:sz w:val="24"/>
        </w:rPr>
        <w:t>无单位共模抑制比（CMRR）59.3dB</w:t>
      </w:r>
    </w:p>
    <w:p w14:paraId="41E6861C">
      <w:pPr>
        <w:pStyle w:val="8"/>
        <w:spacing w:line="360" w:lineRule="auto"/>
        <w:ind w:left="420" w:firstLine="0" w:firstLineChars="0"/>
        <w:rPr>
          <w:rFonts w:ascii="Times New Roman" w:hAnsi="Times New Roman" w:cs="Times New Roman"/>
          <w:sz w:val="24"/>
        </w:rPr>
      </w:pPr>
      <w:r>
        <w:rPr>
          <w:rFonts w:ascii="Times New Roman" w:hAnsi="Times New Roman" w:cs="Times New Roman"/>
          <w:sz w:val="24"/>
        </w:rPr>
        <w:t>电源抑制比（PSRR）51.5dB</w:t>
      </w:r>
    </w:p>
    <w:p w14:paraId="6158723C">
      <w:pPr>
        <w:pStyle w:val="8"/>
        <w:spacing w:line="360" w:lineRule="auto"/>
        <w:ind w:left="420" w:firstLine="0" w:firstLineChars="0"/>
        <w:rPr>
          <w:rFonts w:ascii="Times New Roman" w:hAnsi="Times New Roman" w:cs="Times New Roman"/>
          <w:sz w:val="24"/>
        </w:rPr>
      </w:pPr>
      <w:r>
        <w:rPr>
          <w:rFonts w:ascii="Times New Roman" w:hAnsi="Times New Roman" w:cs="Times New Roman"/>
          <w:sz w:val="24"/>
        </w:rPr>
        <w:t>转换速率（Slew Rate）2.175V/μs</w:t>
      </w:r>
    </w:p>
    <w:p w14:paraId="58F7E9C9">
      <w:pPr>
        <w:pStyle w:val="8"/>
        <w:spacing w:line="360" w:lineRule="auto"/>
        <w:ind w:left="420" w:firstLine="0" w:firstLineChars="0"/>
        <w:rPr>
          <w:sz w:val="24"/>
        </w:rPr>
      </w:pPr>
      <w:r>
        <w:rPr>
          <w:rFonts w:hint="eastAsia" w:ascii="Times New Roman" w:hAnsi="Times New Roman" w:cs="Times New Roman"/>
          <w:sz w:val="24"/>
        </w:rPr>
        <w:t>5.2</w:t>
      </w:r>
      <w:r>
        <w:rPr>
          <w:rFonts w:hint="eastAsia"/>
          <w:sz w:val="24"/>
        </w:rPr>
        <w:t>阅读仪器使用说明文档</w:t>
      </w:r>
      <w:r>
        <w:rPr>
          <w:sz w:val="24"/>
        </w:rPr>
        <w:t>opamp_test.pdf</w:t>
      </w:r>
      <w:r>
        <w:rPr>
          <w:rFonts w:hint="eastAsia"/>
          <w:sz w:val="24"/>
        </w:rPr>
        <w:t>，试推导分析如下图所示的增益测试电路的原理，即公式（3-6）</w:t>
      </w:r>
      <w:r>
        <w:rPr>
          <w:rFonts w:hint="eastAsia"/>
          <w:position w:val="-12"/>
          <w:sz w:val="24"/>
        </w:rPr>
        <w:drawing>
          <wp:inline distT="0" distB="0" distL="0" distR="0">
            <wp:extent cx="1697990" cy="258445"/>
            <wp:effectExtent l="1905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2"/>
                    <a:srcRect r="49045" b="9091"/>
                    <a:stretch>
                      <a:fillRect/>
                    </a:stretch>
                  </pic:blipFill>
                  <pic:spPr>
                    <a:xfrm>
                      <a:off x="0" y="0"/>
                      <a:ext cx="1698245" cy="258792"/>
                    </a:xfrm>
                    <a:prstGeom prst="rect">
                      <a:avLst/>
                    </a:prstGeom>
                    <a:noFill/>
                    <a:ln w="9525">
                      <a:noFill/>
                      <a:miter lim="800000"/>
                      <a:headEnd/>
                      <a:tailEnd/>
                    </a:ln>
                  </pic:spPr>
                </pic:pic>
              </a:graphicData>
            </a:graphic>
          </wp:inline>
        </w:drawing>
      </w:r>
      <w:r>
        <w:rPr>
          <w:rFonts w:hint="eastAsia"/>
          <w:sz w:val="24"/>
        </w:rPr>
        <w:t>的得出过程。</w:t>
      </w:r>
    </w:p>
    <w:p w14:paraId="10422E8D">
      <w:pPr>
        <w:pStyle w:val="8"/>
        <w:spacing w:line="360" w:lineRule="auto"/>
        <w:ind w:left="420" w:firstLine="480"/>
        <w:rPr>
          <w:sz w:val="24"/>
        </w:rPr>
      </w:pPr>
      <w:r>
        <w:rPr>
          <w:sz w:val="24"/>
        </w:rPr>
        <w:t>运放开环增益测试电路采用辅助放大器构建负反馈闭环系统，核心解决高开环增益直接测量困难的问题，公式（3-6）K0​=(1+R2​R3​​)</w:t>
      </w:r>
      <w:r>
        <w:rPr>
          <w:rFonts w:ascii="Cambria Math" w:hAnsi="Cambria Math" w:cs="Cambria Math"/>
          <w:sz w:val="24"/>
        </w:rPr>
        <w:t>⋅∣</w:t>
      </w:r>
      <w:r>
        <w:rPr>
          <w:sz w:val="24"/>
        </w:rPr>
        <w:t>V2</w:t>
      </w:r>
      <w:r>
        <w:rPr>
          <w:rFonts w:ascii="Calibri" w:hAnsi="Calibri" w:cs="Calibri"/>
          <w:sz w:val="24"/>
        </w:rPr>
        <w:t>​−</w:t>
      </w:r>
      <w:r>
        <w:rPr>
          <w:sz w:val="24"/>
        </w:rPr>
        <w:t>V1</w:t>
      </w:r>
      <w:r>
        <w:rPr>
          <w:rFonts w:ascii="Calibri" w:hAnsi="Calibri" w:cs="Calibri"/>
          <w:sz w:val="24"/>
        </w:rPr>
        <w:t>​</w:t>
      </w:r>
      <w:r>
        <w:rPr>
          <w:rFonts w:ascii="Cambria Math" w:hAnsi="Cambria Math" w:cs="Cambria Math"/>
          <w:sz w:val="24"/>
        </w:rPr>
        <w:t>∣</w:t>
      </w:r>
      <w:r>
        <w:rPr>
          <w:sz w:val="24"/>
        </w:rPr>
        <w:t>1</w:t>
      </w:r>
      <w:r>
        <w:rPr>
          <w:rFonts w:ascii="Calibri" w:hAnsi="Calibri" w:cs="Calibri"/>
          <w:sz w:val="24"/>
        </w:rPr>
        <w:t> </w:t>
      </w:r>
      <w:r>
        <w:rPr>
          <w:sz w:val="24"/>
        </w:rPr>
        <w:t>V</w:t>
      </w:r>
      <w:r>
        <w:rPr>
          <w:rFonts w:ascii="Calibri" w:hAnsi="Calibri" w:cs="Calibri"/>
          <w:sz w:val="24"/>
        </w:rPr>
        <w:t>​</w:t>
      </w:r>
      <w:r>
        <w:rPr>
          <w:sz w:val="24"/>
        </w:rPr>
        <w:t xml:space="preserve"> 是基于该电路原理推导得出。</w:t>
      </w:r>
    </w:p>
    <w:p w14:paraId="6DFB2504">
      <w:pPr>
        <w:pStyle w:val="8"/>
        <w:spacing w:line="360" w:lineRule="auto"/>
        <w:ind w:left="420" w:firstLine="480"/>
        <w:rPr>
          <w:sz w:val="24"/>
        </w:rPr>
      </w:pPr>
      <w:r>
        <w:rPr>
          <w:sz w:val="24"/>
        </w:rPr>
        <w:t>电路中辅助放大器与电阻R2​、R3​构成同相比例放大电路，根据理想运放 “虚短”“虚断” 特性，其闭环增益为 Aaux​=1+R2​R3​​，该固定增益可将微小误差信号放大，保障测量精度。测试时通过切换开关S1​获取两种工况的输出电压：S1​断开时，辅助放大器输入来自待测运放（DUT）的输出电压，经放大后得到V1​，且因负反馈作用V1​≈VDUT,out​；S1​闭合时，辅助放大器接入 1V 基准电压，放大后输出V2​≈1 V。结合 DUT 开环增益定义K0​=Vdiff​VDUT,out​​，以及负反馈强制 DUT 输入差分电压Vdiff​极小化的特性，可联立推导出Vdiff​=K0​V1​​=Aaux​1 V−V1​​，进一步整理并近似1 V−V1​≈</w:t>
      </w:r>
      <w:r>
        <w:rPr>
          <w:rFonts w:ascii="Cambria Math" w:hAnsi="Cambria Math" w:cs="Cambria Math"/>
          <w:sz w:val="24"/>
        </w:rPr>
        <w:t>∣</w:t>
      </w:r>
      <w:r>
        <w:rPr>
          <w:sz w:val="24"/>
        </w:rPr>
        <w:t>V2</w:t>
      </w:r>
      <w:r>
        <w:rPr>
          <w:rFonts w:ascii="Calibri" w:hAnsi="Calibri" w:cs="Calibri"/>
          <w:sz w:val="24"/>
        </w:rPr>
        <w:t>​−</w:t>
      </w:r>
      <w:r>
        <w:rPr>
          <w:sz w:val="24"/>
        </w:rPr>
        <w:t>V1</w:t>
      </w:r>
      <w:r>
        <w:rPr>
          <w:rFonts w:ascii="Calibri" w:hAnsi="Calibri" w:cs="Calibri"/>
          <w:sz w:val="24"/>
        </w:rPr>
        <w:t>​</w:t>
      </w:r>
      <w:r>
        <w:rPr>
          <w:rFonts w:ascii="Cambria Math" w:hAnsi="Cambria Math" w:cs="Cambria Math"/>
          <w:sz w:val="24"/>
        </w:rPr>
        <w:t>∣</w:t>
      </w:r>
      <w:r>
        <w:rPr>
          <w:sz w:val="24"/>
        </w:rPr>
        <w:t>，最终得到公式（3-6）。</w:t>
      </w:r>
    </w:p>
    <w:p w14:paraId="5AFD8093">
      <w:pPr>
        <w:pStyle w:val="8"/>
        <w:spacing w:line="360" w:lineRule="auto"/>
        <w:ind w:left="420" w:firstLine="480"/>
        <w:rPr>
          <w:sz w:val="24"/>
        </w:rPr>
      </w:pPr>
      <w:r>
        <w:rPr>
          <w:sz w:val="24"/>
        </w:rPr>
        <w:t>该推导利用辅助放大器的稳定增益将高开环增益转化为可精确测量的电压差值函数，强制 DUT 工作在线性区，有效降低了微小信号测量的误差影响，符合标准化测试的工程需求。</w:t>
      </w:r>
    </w:p>
    <w:p w14:paraId="28543D4A">
      <w:pPr>
        <w:pStyle w:val="8"/>
        <w:spacing w:line="360" w:lineRule="auto"/>
        <w:ind w:left="420" w:firstLine="0" w:firstLineChars="0"/>
        <w:rPr>
          <w:sz w:val="24"/>
        </w:rPr>
      </w:pPr>
    </w:p>
    <w:p w14:paraId="39D09FE2">
      <w:pPr>
        <w:pStyle w:val="8"/>
        <w:spacing w:line="360" w:lineRule="auto"/>
        <w:ind w:left="420" w:firstLine="0" w:firstLineChars="0"/>
        <w:jc w:val="center"/>
        <w:rPr>
          <w:rFonts w:ascii="Times New Roman" w:hAnsi="Times New Roman" w:cs="Times New Roman"/>
          <w:sz w:val="24"/>
        </w:rPr>
      </w:pPr>
      <w:r>
        <w:rPr>
          <w:rFonts w:hint="eastAsia" w:ascii="Times New Roman" w:hAnsi="Times New Roman" w:cs="Times New Roman"/>
          <w:sz w:val="24"/>
        </w:rPr>
        <w:drawing>
          <wp:inline distT="0" distB="0" distL="0" distR="0">
            <wp:extent cx="3742055" cy="1437005"/>
            <wp:effectExtent l="19050" t="0" r="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noChangeArrowheads="1"/>
                    </pic:cNvPicPr>
                  </pic:nvPicPr>
                  <pic:blipFill>
                    <a:blip r:embed="rId13"/>
                    <a:srcRect/>
                    <a:stretch>
                      <a:fillRect/>
                    </a:stretch>
                  </pic:blipFill>
                  <pic:spPr>
                    <a:xfrm>
                      <a:off x="0" y="0"/>
                      <a:ext cx="3743812" cy="1438149"/>
                    </a:xfrm>
                    <a:prstGeom prst="rect">
                      <a:avLst/>
                    </a:prstGeom>
                    <a:noFill/>
                    <a:ln w="9525">
                      <a:noFill/>
                      <a:miter lim="800000"/>
                      <a:headEnd/>
                      <a:tailEnd/>
                    </a:ln>
                  </pic:spPr>
                </pic:pic>
              </a:graphicData>
            </a:graphic>
          </wp:inline>
        </w:drawing>
      </w:r>
    </w:p>
    <w:p w14:paraId="13926F1B">
      <w:pPr>
        <w:numPr>
          <w:ilvl w:val="0"/>
          <w:numId w:val="1"/>
        </w:numPr>
        <w:rPr>
          <w:rFonts w:hint="eastAsia" w:ascii="黑体" w:hAnsi="黑体" w:eastAsia="黑体"/>
          <w:sz w:val="32"/>
          <w:szCs w:val="36"/>
        </w:rPr>
      </w:pPr>
      <w:r>
        <w:rPr>
          <w:rFonts w:hint="eastAsia" w:ascii="黑体" w:hAnsi="黑体" w:eastAsia="黑体"/>
          <w:sz w:val="32"/>
          <w:szCs w:val="36"/>
        </w:rPr>
        <w:t>实验结论与感悟</w:t>
      </w:r>
    </w:p>
    <w:p w14:paraId="5716FADD">
      <w:pPr>
        <w:widowControl/>
        <w:shd w:val="clear" w:color="auto" w:fill="FFFFFF"/>
        <w:spacing w:line="360" w:lineRule="auto"/>
        <w:ind w:firstLine="480" w:firstLineChars="200"/>
        <w:jc w:val="left"/>
        <w:rPr>
          <w:rFonts w:ascii="Segoe UI" w:hAnsi="Segoe UI" w:eastAsia="宋体" w:cs="Segoe UI"/>
          <w:color w:val="000000"/>
          <w:kern w:val="0"/>
          <w:sz w:val="24"/>
        </w:rPr>
      </w:pPr>
      <w:r>
        <w:rPr>
          <w:rFonts w:ascii="Segoe UI" w:hAnsi="Segoe UI" w:eastAsia="宋体" w:cs="Segoe UI"/>
          <w:color w:val="000000"/>
          <w:kern w:val="0"/>
          <w:sz w:val="24"/>
        </w:rPr>
        <w:t>本次实验中，我系统掌握了基于IECUBE-3100硬件平台与LabVIEW软件的运算放大器关键参数测试技术。通过搭建实际测试电路并编写对应的 LabVIEW 程序，我成功实现了对输入漏电流、失调电压两项核心参数的精准测量，也由此深入理解了差分测量原理与零点校准方法在保障测试精度方面的关键作用。</w:t>
      </w:r>
    </w:p>
    <w:p w14:paraId="27A2D9F0">
      <w:pPr>
        <w:widowControl/>
        <w:shd w:val="clear" w:color="auto" w:fill="FFFFFF"/>
        <w:spacing w:line="360" w:lineRule="auto"/>
        <w:ind w:firstLine="480" w:firstLineChars="200"/>
        <w:jc w:val="left"/>
        <w:rPr>
          <w:rFonts w:ascii="Segoe UI" w:hAnsi="Segoe UI" w:eastAsia="宋体" w:cs="Segoe UI"/>
          <w:color w:val="000000"/>
          <w:kern w:val="0"/>
          <w:sz w:val="24"/>
        </w:rPr>
      </w:pPr>
      <w:r>
        <w:rPr>
          <w:rFonts w:ascii="Segoe UI" w:hAnsi="Segoe UI" w:eastAsia="宋体" w:cs="Segoe UI"/>
          <w:color w:val="000000"/>
          <w:kern w:val="0"/>
          <w:sz w:val="24"/>
        </w:rPr>
        <w:t>实验过程中，我将增益测试流程封装为可复用的LabVIEW子VI模块，这一举措不仅优化了程序结构，提升了代码的清晰度与可维护性，更让我切实体会到模块化设计在复杂工程系统开发中的实践价值。除此之外，我还熟练掌握了电源调制分析与阶跃响应测试方法，尤其是在压摆率测量环节，借助LabVIEW的定时功能与波形图控件，高效完成了对输出信号变化速率的精准捕获与定量分析。</w:t>
      </w:r>
    </w:p>
    <w:p w14:paraId="2D8F8403">
      <w:pPr>
        <w:widowControl/>
        <w:shd w:val="clear" w:color="auto" w:fill="FFFFFF"/>
        <w:spacing w:line="360" w:lineRule="auto"/>
        <w:ind w:firstLine="480" w:firstLineChars="200"/>
        <w:jc w:val="left"/>
        <w:rPr>
          <w:rFonts w:ascii="Segoe UI" w:hAnsi="Segoe UI" w:eastAsia="宋体" w:cs="Segoe UI"/>
          <w:color w:val="000000"/>
          <w:kern w:val="0"/>
          <w:sz w:val="24"/>
        </w:rPr>
      </w:pPr>
      <w:r>
        <w:rPr>
          <w:rFonts w:ascii="Segoe UI" w:hAnsi="Segoe UI" w:eastAsia="宋体" w:cs="Segoe UI"/>
          <w:color w:val="000000"/>
          <w:kern w:val="0"/>
          <w:sz w:val="24"/>
        </w:rPr>
        <w:t>本次实验不仅深化了我对运放性能参数测试技术的认知，更系统锻炼了LabVIEW编程能力与数据处理思维。这种模块化、系统化的工程思维模式，也将对我后续的课程学习与项目开发工作产生持续且积极的影响。</w:t>
      </w:r>
    </w:p>
    <w:p w14:paraId="73BD15A7">
      <w:pPr>
        <w:widowControl/>
        <w:shd w:val="clear" w:color="auto" w:fill="FFFFFF"/>
        <w:spacing w:line="360" w:lineRule="auto"/>
        <w:ind w:firstLine="480" w:firstLineChars="200"/>
        <w:jc w:val="left"/>
        <w:rPr>
          <w:rFonts w:ascii="Segoe UI" w:hAnsi="Segoe UI" w:eastAsia="宋体" w:cs="Segoe UI"/>
          <w:color w:val="000000"/>
          <w:kern w:val="0"/>
          <w:sz w:val="24"/>
        </w:rPr>
      </w:pPr>
    </w:p>
    <w:sectPr>
      <w:footerReference r:id="rId3" w:type="default"/>
      <w:pgSz w:w="11906" w:h="16838"/>
      <w:pgMar w:top="1417" w:right="1134" w:bottom="1134" w:left="1134"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黑体">
    <w:altName w:val="汉仪中黑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egoe UI">
    <w:altName w:val="苹方-简"/>
    <w:panose1 w:val="020B0502040204020203"/>
    <w:charset w:val="00"/>
    <w:family w:val="swiss"/>
    <w:pitch w:val="default"/>
    <w:sig w:usb0="00000000" w:usb1="00000000" w:usb2="00000009" w:usb3="00000000" w:csb0="000001FF" w:csb1="00000000"/>
  </w:font>
  <w:font w:name="Cambria Math">
    <w:altName w:val="Kingsoft Math"/>
    <w:panose1 w:val="02040503050406030204"/>
    <w:charset w:val="00"/>
    <w:family w:val="roman"/>
    <w:pitch w:val="default"/>
    <w:sig w:usb0="00000000" w:usb1="00000000" w:usb2="02000000"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Kingsoft Math">
    <w:panose1 w:val="02040503050406030204"/>
    <w:charset w:val="00"/>
    <w:family w:val="auto"/>
    <w:pitch w:val="default"/>
    <w:sig w:usb0="80000087" w:usb1="00002068" w:usb2="00000000" w:usb3="00000000" w:csb0="2000019F" w:csb1="00000000"/>
  </w:font>
  <w:font w:name="宋体-简">
    <w:panose1 w:val="02010800040101010101"/>
    <w:charset w:val="86"/>
    <w:family w:val="auto"/>
    <w:pitch w:val="default"/>
    <w:sig w:usb0="00000001" w:usb1="080F0000" w:usb2="00000000"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CA032">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859155" cy="147955"/>
              <wp:effectExtent l="0" t="0" r="0" b="0"/>
              <wp:wrapNone/>
              <wp:docPr id="5" name="文本框 2"/>
              <wp:cNvGraphicFramePr/>
              <a:graphic xmlns:a="http://schemas.openxmlformats.org/drawingml/2006/main">
                <a:graphicData uri="http://schemas.microsoft.com/office/word/2010/wordprocessingShape">
                  <wps:wsp>
                    <wps:cNvSpPr txBox="1"/>
                    <wps:spPr>
                      <a:xfrm>
                        <a:off x="0" y="0"/>
                        <a:ext cx="859155" cy="1479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2DF164">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文本框 2" o:spid="_x0000_s1026" o:spt="202" type="#_x0000_t202" style="position:absolute;left:0pt;margin-top:0pt;height:11.65pt;width:67.65pt;mso-position-horizontal:center;mso-position-horizontal-relative:margin;mso-wrap-style:none;z-index:251660288;mso-width-relative:page;mso-height-relative:page;" filled="f" stroked="f" coordsize="21600,21600" o:gfxdata="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FS000NMAAAAEAQAADwAAAAAAAAABACAAAAAiAAAAZHJzL2Rvd25yZXYueG1sUEsBAhQA&#10;FAAAAAgAh07iQMtKZFMwAgAAUwQAAA4AAAAAAAAAAQAgAAAAIgEAAGRycy9lMm9Eb2MueG1sUEsF&#10;BgAAAAAGAAYAWQEAAMQFAAAAAA==&#10;">
              <v:fill on="f" focussize="0,0"/>
              <v:stroke on="f" weight="0.5pt"/>
              <v:imagedata o:title=""/>
              <o:lock v:ext="edit" aspectratio="f"/>
              <v:textbox inset="0mm,0mm,0mm,0mm" style="mso-fit-shape-to-text:t;">
                <w:txbxContent>
                  <w:p w14:paraId="332DF164">
                    <w:pPr>
                      <w:snapToGrid w:val="0"/>
                      <w:rPr>
                        <w:sz w:val="18"/>
                      </w:rPr>
                    </w:pPr>
                    <w:r>
                      <w:rPr>
                        <w:rFonts w:hint="eastAsia"/>
                        <w:sz w:val="18"/>
                      </w:rPr>
                      <w:t xml:space="preserve">第 </w:t>
                    </w: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2</w:t>
                    </w:r>
                    <w:r>
                      <w:rPr>
                        <w:rFonts w:hint="eastAsia"/>
                        <w:sz w:val="18"/>
                      </w:rPr>
                      <w:fldChar w:fldCharType="end"/>
                    </w:r>
                    <w:r>
                      <w:rPr>
                        <w:rFonts w:hint="eastAsia"/>
                        <w:sz w:val="18"/>
                      </w:rPr>
                      <w:t xml:space="preserve"> 页 共 </w:t>
                    </w:r>
                    <w:r>
                      <w:fldChar w:fldCharType="begin"/>
                    </w:r>
                    <w:r>
                      <w:instrText xml:space="preserve"> NUMPAGES  \* MERGEFORMAT </w:instrText>
                    </w:r>
                    <w:r>
                      <w:fldChar w:fldCharType="separate"/>
                    </w:r>
                    <w:r>
                      <w:rPr>
                        <w:sz w:val="18"/>
                      </w:rPr>
                      <w:t>2</w:t>
                    </w:r>
                    <w:r>
                      <w:rPr>
                        <w:sz w:val="18"/>
                      </w:rPr>
                      <w:fldChar w:fldCharType="end"/>
                    </w:r>
                    <w:r>
                      <w:rPr>
                        <w:rFonts w:hint="eastAsia"/>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7EA1535"/>
    <w:multiLevelType w:val="singleLevel"/>
    <w:tmpl w:val="57EA1535"/>
    <w:lvl w:ilvl="0" w:tentative="0">
      <w:start w:val="1"/>
      <w:numFmt w:val="chineseCounting"/>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22357B7"/>
    <w:rsid w:val="0001465B"/>
    <w:rsid w:val="00091480"/>
    <w:rsid w:val="00095750"/>
    <w:rsid w:val="00103892"/>
    <w:rsid w:val="00127814"/>
    <w:rsid w:val="0013633B"/>
    <w:rsid w:val="001766E6"/>
    <w:rsid w:val="00234C95"/>
    <w:rsid w:val="00275B90"/>
    <w:rsid w:val="00284A30"/>
    <w:rsid w:val="002E1906"/>
    <w:rsid w:val="00354B03"/>
    <w:rsid w:val="0036325A"/>
    <w:rsid w:val="003A0047"/>
    <w:rsid w:val="00415F4C"/>
    <w:rsid w:val="00422AF1"/>
    <w:rsid w:val="00433ED7"/>
    <w:rsid w:val="00464452"/>
    <w:rsid w:val="004F44CF"/>
    <w:rsid w:val="00576FAB"/>
    <w:rsid w:val="005B38BE"/>
    <w:rsid w:val="006238E2"/>
    <w:rsid w:val="006615A9"/>
    <w:rsid w:val="00697C03"/>
    <w:rsid w:val="006B5F69"/>
    <w:rsid w:val="006E1D7D"/>
    <w:rsid w:val="006E6374"/>
    <w:rsid w:val="006E6FAC"/>
    <w:rsid w:val="006F1C9E"/>
    <w:rsid w:val="0072732D"/>
    <w:rsid w:val="00744843"/>
    <w:rsid w:val="008072F6"/>
    <w:rsid w:val="008721FD"/>
    <w:rsid w:val="0087701E"/>
    <w:rsid w:val="00895356"/>
    <w:rsid w:val="008C3E7F"/>
    <w:rsid w:val="008D60DA"/>
    <w:rsid w:val="00933A01"/>
    <w:rsid w:val="009378FD"/>
    <w:rsid w:val="00963192"/>
    <w:rsid w:val="009C7DA6"/>
    <w:rsid w:val="009E6BFB"/>
    <w:rsid w:val="009F6777"/>
    <w:rsid w:val="00A31D60"/>
    <w:rsid w:val="00B642D5"/>
    <w:rsid w:val="00B949C3"/>
    <w:rsid w:val="00BD387C"/>
    <w:rsid w:val="00C8611C"/>
    <w:rsid w:val="00C92C63"/>
    <w:rsid w:val="00CB21F5"/>
    <w:rsid w:val="00D81885"/>
    <w:rsid w:val="00E32507"/>
    <w:rsid w:val="00E80E8A"/>
    <w:rsid w:val="00EC486C"/>
    <w:rsid w:val="00F0166F"/>
    <w:rsid w:val="00F071C4"/>
    <w:rsid w:val="00F73FEB"/>
    <w:rsid w:val="00FA1743"/>
    <w:rsid w:val="00FE28D7"/>
    <w:rsid w:val="0DF6702C"/>
    <w:rsid w:val="522357B7"/>
    <w:rsid w:val="5CB31D71"/>
    <w:rsid w:val="7D2E379F"/>
    <w:rsid w:val="FB97B18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9"/>
    <w:uiPriority w:val="0"/>
    <w:rPr>
      <w:sz w:val="18"/>
      <w:szCs w:val="18"/>
    </w:rPr>
  </w:style>
  <w:style w:type="paragraph" w:styleId="3">
    <w:name w:val="footer"/>
    <w:basedOn w:val="1"/>
    <w:uiPriority w:val="0"/>
    <w:pPr>
      <w:tabs>
        <w:tab w:val="center" w:pos="4153"/>
        <w:tab w:val="right" w:pos="8306"/>
      </w:tabs>
      <w:snapToGrid w:val="0"/>
      <w:jc w:val="left"/>
    </w:pPr>
    <w:rPr>
      <w:sz w:val="18"/>
    </w:rPr>
  </w:style>
  <w:style w:type="paragraph" w:styleId="4">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uiPriority w:val="99"/>
    <w:pPr>
      <w:ind w:firstLine="420" w:firstLineChars="200"/>
    </w:pPr>
  </w:style>
  <w:style w:type="character" w:customStyle="1" w:styleId="9">
    <w:name w:val="批注框文本 字符"/>
    <w:basedOn w:val="7"/>
    <w:link w:val="2"/>
    <w:uiPriority w:val="0"/>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5</Pages>
  <Words>470</Words>
  <Characters>2681</Characters>
  <Lines>22</Lines>
  <Paragraphs>6</Paragraphs>
  <TotalTime>2</TotalTime>
  <ScaleCrop>false</ScaleCrop>
  <LinksUpToDate>false</LinksUpToDate>
  <CharactersWithSpaces>3145</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2026-01-11T15:39:00Z</dcterms:created>
  <dc:creator>伊思默</dc:creator>
  <cp:lastModifiedBy>李泉胜</cp:lastModifiedBy>
  <dcterms:modified xsi:type="dcterms:W3CDTF">2026-01-11T20:51:41Z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6B7A6E537AC97E7DDD9C6369693F4BB4_42</vt:lpwstr>
  </property>
</Properties>
</file>