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71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第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次作业</w:t>
      </w:r>
    </w:p>
    <w:p w14:paraId="56570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1. </w:t>
      </w:r>
      <w:r>
        <w:rPr>
          <w:rFonts w:hint="eastAsia" w:ascii="Times New Roman" w:hAnsi="Times New Roman" w:cs="Times New Roman"/>
          <w:lang w:val="en-US" w:eastAsia="zh-CN"/>
        </w:rPr>
        <w:t>分析决定投影光刻分辨率的主要因素和改进光刻技术的基本途径</w:t>
      </w:r>
      <w:r>
        <w:rPr>
          <w:rFonts w:hint="default" w:ascii="Times New Roman" w:hAnsi="Times New Roman" w:cs="Times New Roman"/>
          <w:lang w:val="en-US" w:eastAsia="zh-CN"/>
        </w:rPr>
        <w:t>？</w:t>
      </w:r>
    </w:p>
    <w:p w14:paraId="6F5B32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 为什么液媒光刻可使193nm光刻线条分辨率进入远低于波长的亚波长领域?说明液媒光刻的装置特点。</w:t>
      </w:r>
    </w:p>
    <w:p w14:paraId="4782BC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3、湿法腐蚀工艺有哪些特点？在纳米CMOS集成芯片制造技术中，是否仍有应用？</w:t>
      </w:r>
    </w:p>
    <w:p w14:paraId="1A6A2E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4、为什么在等离子体刻蚀过程中可能存在聚合反应与薄膜淀积？它们与哪些因素有关？如何利用聚合反应优化刻蚀工艺？</w:t>
      </w:r>
    </w:p>
    <w:p w14:paraId="418AA3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5. 以铝互连系统作为一种电路芯片的电连系统时，若分别采用真空蒸镀和磁控溅射工艺淀积铝膜，应分别从哪几方面来提高其台阶覆盖特性？</w:t>
      </w:r>
    </w:p>
    <w:p w14:paraId="2CCDFB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lang w:val="en-US" w:eastAsia="zh-CN"/>
        </w:rPr>
      </w:pPr>
    </w:p>
    <w:p w14:paraId="43567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b/>
          <w:bCs/>
          <w:lang w:val="en-US" w:eastAsia="zh-CN"/>
        </w:rPr>
        <w:t>第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次作业</w:t>
      </w:r>
    </w:p>
    <w:bookmarkEnd w:id="0"/>
    <w:p w14:paraId="1EA948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设计表面微加工工艺，实现下图所示结构，画出工艺流程图，并详细说明每一个工艺步骤的工艺参数</w:t>
      </w:r>
    </w:p>
    <w:p w14:paraId="78FFB6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295650" cy="1289050"/>
            <wp:effectExtent l="0" t="0" r="1143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8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hint="eastAsia"/>
          <w:color w:val="auto"/>
          <w:sz w:val="24"/>
        </w:rPr>
        <w:object>
          <v:shape id="_x0000_i1025" o:spt="75" type="#_x0000_t75" style="height:203.6pt;width:291pt;" o:ole="t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5">
            <o:LockedField>false</o:LockedField>
          </o:OLEObject>
        </w:object>
      </w:r>
    </w:p>
    <w:p w14:paraId="7B68AD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分别采用干法刻蚀和剥离工艺实现下图所示结构，分别画出2种方法的工艺流程图，并的每步工艺参数进行描述</w:t>
      </w:r>
    </w:p>
    <w:p w14:paraId="4FB84F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</w:pPr>
    </w:p>
    <w:p w14:paraId="5B8716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2851150" cy="1187450"/>
            <wp:effectExtent l="0" t="0" r="13970" b="127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4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6763F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lang w:val="en-US" w:eastAsia="zh-CN"/>
        </w:rPr>
      </w:pPr>
    </w:p>
    <w:p w14:paraId="31F0F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370C9A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DB04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062BC2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2C1B6"/>
    <w:multiLevelType w:val="singleLevel"/>
    <w:tmpl w:val="37E2C1B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0NmU1NmY1ODYwMmRmOTVlNzk1YTYwZDEwNGYxOWEifQ=="/>
  </w:docVars>
  <w:rsids>
    <w:rsidRoot w:val="1FF8273F"/>
    <w:rsid w:val="1FF8273F"/>
    <w:rsid w:val="25C842B4"/>
    <w:rsid w:val="265D4E5F"/>
    <w:rsid w:val="51281E7C"/>
    <w:rsid w:val="52E657D3"/>
    <w:rsid w:val="569C0218"/>
    <w:rsid w:val="6BA7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544</Words>
  <Characters>571</Characters>
  <Lines>0</Lines>
  <Paragraphs>0</Paragraphs>
  <TotalTime>11</TotalTime>
  <ScaleCrop>false</ScaleCrop>
  <LinksUpToDate>false</LinksUpToDate>
  <CharactersWithSpaces>574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2021-11-01T01:48:00Z</dcterms:created>
  <dc:creator>王宇峰</dc:creator>
  <cp:lastModifiedBy>雷程</cp:lastModifiedBy>
  <dcterms:modified xsi:type="dcterms:W3CDTF">2024-10-14T14:30:39Z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FE5FDA4743334B608D12E73C9418571E_13</vt:lpwstr>
  </property>
</Properties>
</file>