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7DB94">
      <w:pPr>
        <w:spacing w:after="62" w:afterLines="20" w:line="360" w:lineRule="auto"/>
        <w:ind w:left="0" w:leftChars="0" w:firstLine="0" w:firstLineChars="0"/>
        <w:jc w:val="both"/>
        <w:rPr>
          <w:rFonts w:hint="eastAsia" w:ascii="Times New Roman" w:hAnsi="Times New Roman" w:eastAsia="楷体_GB2312"/>
          <w:sz w:val="56"/>
        </w:rPr>
      </w:pPr>
    </w:p>
    <w:p w14:paraId="2A313857">
      <w:pPr>
        <w:spacing w:after="62" w:afterLines="20" w:line="360" w:lineRule="auto"/>
        <w:ind w:left="0" w:leftChars="0" w:firstLine="0" w:firstLineChars="0"/>
        <w:jc w:val="center"/>
        <w:rPr>
          <w:rFonts w:hint="eastAsia" w:ascii="Times New Roman" w:hAnsi="Times New Roman" w:eastAsia="楷体_GB2312"/>
          <w:sz w:val="56"/>
        </w:rPr>
      </w:pPr>
      <w:r>
        <w:rPr>
          <w:rFonts w:hint="eastAsia" w:ascii="Times New Roman" w:hAnsi="Times New Roman" w:eastAsia="楷体_GB2312"/>
          <w:sz w:val="56"/>
        </w:rPr>
        <w:t>中 北 大 学</w:t>
      </w:r>
    </w:p>
    <w:p w14:paraId="07859847">
      <w:pPr>
        <w:spacing w:after="62" w:afterLines="20" w:line="360" w:lineRule="auto"/>
        <w:ind w:left="0" w:leftChars="0" w:firstLine="0" w:firstLineChars="0"/>
        <w:jc w:val="both"/>
        <w:rPr>
          <w:rFonts w:hint="eastAsia" w:ascii="Times New Roman" w:hAnsi="Times New Roman" w:eastAsia="楷体_GB2312"/>
          <w:sz w:val="56"/>
        </w:rPr>
      </w:pPr>
    </w:p>
    <w:p w14:paraId="64941347">
      <w:pPr>
        <w:spacing w:after="62" w:afterLines="20" w:line="360" w:lineRule="auto"/>
        <w:jc w:val="center"/>
        <w:rPr>
          <w:rFonts w:hint="eastAsia" w:ascii="Times New Roman" w:hAnsi="Times New Roman" w:eastAsia="楷体_GB2312"/>
          <w:sz w:val="56"/>
        </w:rPr>
      </w:pPr>
    </w:p>
    <w:p w14:paraId="6CE3D69C">
      <w:pPr>
        <w:pStyle w:val="6"/>
        <w:ind w:left="0" w:leftChars="0" w:right="-632" w:rightChars="-301" w:firstLine="0" w:firstLineChars="0"/>
        <w:jc w:val="both"/>
        <w:rPr>
          <w:rFonts w:hint="default" w:ascii="Times New Roman" w:hAnsi="Times New Roman" w:eastAsia="黑体"/>
          <w:lang w:val="en-US" w:eastAsia="zh-CN"/>
        </w:rPr>
      </w:pPr>
      <w:r>
        <w:rPr>
          <w:rFonts w:hint="eastAsia" w:ascii="Times New Roman" w:hAnsi="Times New Roman" w:eastAsia="黑体"/>
          <w:sz w:val="72"/>
          <w:szCs w:val="72"/>
          <w:lang w:val="en-US" w:eastAsia="zh-CN"/>
        </w:rPr>
        <w:t>集成电路封装及可靠性测试</w:t>
      </w:r>
    </w:p>
    <w:p w14:paraId="177DC711">
      <w:pPr>
        <w:spacing w:line="360" w:lineRule="exact"/>
        <w:rPr>
          <w:rFonts w:ascii="Times New Roman" w:hAnsi="Times New Roman"/>
          <w:sz w:val="32"/>
        </w:rPr>
      </w:pPr>
    </w:p>
    <w:p w14:paraId="6CF9B27B">
      <w:pPr>
        <w:spacing w:line="360" w:lineRule="exact"/>
        <w:rPr>
          <w:rFonts w:ascii="Times New Roman" w:hAnsi="Times New Roman"/>
          <w:sz w:val="32"/>
        </w:rPr>
      </w:pPr>
    </w:p>
    <w:p w14:paraId="55B4A24A">
      <w:pPr>
        <w:spacing w:line="360" w:lineRule="exact"/>
        <w:jc w:val="center"/>
        <w:rPr>
          <w:rFonts w:ascii="Times New Roman" w:hAnsi="Times New Roman"/>
          <w:sz w:val="32"/>
        </w:rPr>
      </w:pPr>
    </w:p>
    <w:p w14:paraId="7B790AFE">
      <w:pPr>
        <w:spacing w:line="360" w:lineRule="exact"/>
        <w:jc w:val="center"/>
        <w:rPr>
          <w:rFonts w:ascii="Times New Roman" w:hAnsi="Times New Roman"/>
          <w:sz w:val="32"/>
        </w:rPr>
      </w:pPr>
    </w:p>
    <w:tbl>
      <w:tblPr>
        <w:tblStyle w:val="9"/>
        <w:tblpPr w:leftFromText="180" w:rightFromText="180" w:vertAnchor="text" w:horzAnchor="page" w:tblpXSpec="center" w:tblpY="29"/>
        <w:tblOverlap w:val="never"/>
        <w:tblW w:w="7937" w:type="dxa"/>
        <w:jc w:val="center"/>
        <w:tblLayout w:type="fixed"/>
        <w:tblCellMar>
          <w:top w:w="0" w:type="dxa"/>
          <w:left w:w="108" w:type="dxa"/>
          <w:bottom w:w="0" w:type="dxa"/>
          <w:right w:w="108" w:type="dxa"/>
        </w:tblCellMar>
      </w:tblPr>
      <w:tblGrid>
        <w:gridCol w:w="2415"/>
        <w:gridCol w:w="1941"/>
        <w:gridCol w:w="1272"/>
        <w:gridCol w:w="2309"/>
      </w:tblGrid>
      <w:tr w14:paraId="1E889472">
        <w:tblPrEx>
          <w:tblCellMar>
            <w:top w:w="0" w:type="dxa"/>
            <w:left w:w="108" w:type="dxa"/>
            <w:bottom w:w="0" w:type="dxa"/>
            <w:right w:w="108" w:type="dxa"/>
          </w:tblCellMar>
        </w:tblPrEx>
        <w:trPr>
          <w:trHeight w:val="700" w:hRule="atLeast"/>
          <w:jc w:val="center"/>
        </w:trPr>
        <w:tc>
          <w:tcPr>
            <w:tcW w:w="2415" w:type="dxa"/>
            <w:noWrap w:val="0"/>
            <w:vAlign w:val="bottom"/>
          </w:tcPr>
          <w:p w14:paraId="742CA42D">
            <w:pPr>
              <w:spacing w:line="520" w:lineRule="exact"/>
              <w:jc w:val="distribute"/>
              <w:rPr>
                <w:rFonts w:ascii="Times New Roman" w:hAnsi="Times New Roman"/>
                <w:b/>
                <w:bCs/>
                <w:sz w:val="32"/>
              </w:rPr>
            </w:pPr>
            <w:r>
              <w:rPr>
                <w:rFonts w:hint="eastAsia" w:ascii="Times New Roman" w:hAnsi="Times New Roman"/>
                <w:b/>
                <w:bCs/>
                <w:kern w:val="0"/>
                <w:sz w:val="32"/>
              </w:rPr>
              <w:t>学生姓名：</w:t>
            </w:r>
          </w:p>
        </w:tc>
        <w:tc>
          <w:tcPr>
            <w:tcW w:w="1941" w:type="dxa"/>
            <w:tcBorders>
              <w:bottom w:val="single" w:color="auto" w:sz="8" w:space="0"/>
            </w:tcBorders>
            <w:noWrap w:val="0"/>
            <w:vAlign w:val="bottom"/>
          </w:tcPr>
          <w:p w14:paraId="646FBCB8">
            <w:pPr>
              <w:spacing w:line="520" w:lineRule="exact"/>
              <w:jc w:val="center"/>
              <w:rPr>
                <w:rFonts w:hint="default" w:ascii="Times New Roman" w:hAnsi="Times New Roman" w:eastAsia="楷体_GB2312"/>
                <w:sz w:val="32"/>
                <w:lang w:val="en-US" w:eastAsia="zh-CN"/>
              </w:rPr>
            </w:pPr>
            <w:r>
              <w:rPr>
                <w:rFonts w:hint="eastAsia" w:ascii="Times New Roman" w:hAnsi="Times New Roman" w:eastAsia="楷体_GB2312"/>
                <w:sz w:val="32"/>
                <w:lang w:val="en-US" w:eastAsia="zh-CN"/>
              </w:rPr>
              <w:t>李泉胜</w:t>
            </w:r>
          </w:p>
        </w:tc>
        <w:tc>
          <w:tcPr>
            <w:tcW w:w="1272" w:type="dxa"/>
            <w:noWrap w:val="0"/>
            <w:vAlign w:val="bottom"/>
          </w:tcPr>
          <w:p w14:paraId="5CFF674B">
            <w:pPr>
              <w:spacing w:line="520" w:lineRule="exact"/>
              <w:ind w:left="0" w:leftChars="0" w:firstLine="0" w:firstLineChars="0"/>
              <w:jc w:val="distribute"/>
              <w:rPr>
                <w:rFonts w:ascii="Times New Roman" w:hAnsi="Times New Roman"/>
                <w:b/>
                <w:bCs/>
                <w:kern w:val="0"/>
                <w:sz w:val="32"/>
              </w:rPr>
            </w:pPr>
            <w:r>
              <w:rPr>
                <w:rFonts w:hint="eastAsia" w:ascii="Times New Roman" w:hAnsi="Times New Roman"/>
                <w:b/>
                <w:bCs/>
                <w:kern w:val="0"/>
                <w:sz w:val="32"/>
              </w:rPr>
              <w:t>学号：</w:t>
            </w:r>
          </w:p>
        </w:tc>
        <w:tc>
          <w:tcPr>
            <w:tcW w:w="2309" w:type="dxa"/>
            <w:tcBorders>
              <w:bottom w:val="single" w:color="auto" w:sz="8" w:space="0"/>
            </w:tcBorders>
            <w:noWrap w:val="0"/>
            <w:vAlign w:val="bottom"/>
          </w:tcPr>
          <w:p w14:paraId="39694EB8">
            <w:pPr>
              <w:spacing w:line="520" w:lineRule="exact"/>
              <w:jc w:val="center"/>
              <w:rPr>
                <w:rFonts w:hint="default" w:ascii="Times New Roman" w:hAnsi="Times New Roman" w:eastAsia="楷体_GB2312"/>
                <w:sz w:val="32"/>
                <w:lang w:val="en-US" w:eastAsia="zh-CN"/>
              </w:rPr>
            </w:pPr>
            <w:r>
              <w:rPr>
                <w:rFonts w:hint="eastAsia" w:ascii="Times New Roman" w:hAnsi="Times New Roman" w:eastAsia="楷体_GB2312"/>
                <w:b w:val="0"/>
                <w:bCs w:val="0"/>
                <w:sz w:val="32"/>
                <w:lang w:val="en-US" w:eastAsia="zh-CN"/>
              </w:rPr>
              <w:t>2206040245</w:t>
            </w:r>
          </w:p>
        </w:tc>
      </w:tr>
      <w:tr w14:paraId="7A4381A8">
        <w:tblPrEx>
          <w:tblCellMar>
            <w:top w:w="0" w:type="dxa"/>
            <w:left w:w="108" w:type="dxa"/>
            <w:bottom w:w="0" w:type="dxa"/>
            <w:right w:w="108" w:type="dxa"/>
          </w:tblCellMar>
        </w:tblPrEx>
        <w:trPr>
          <w:trHeight w:val="719" w:hRule="atLeast"/>
          <w:jc w:val="center"/>
        </w:trPr>
        <w:tc>
          <w:tcPr>
            <w:tcW w:w="2415" w:type="dxa"/>
            <w:noWrap w:val="0"/>
            <w:vAlign w:val="bottom"/>
          </w:tcPr>
          <w:p w14:paraId="05FEF741">
            <w:pPr>
              <w:spacing w:line="520" w:lineRule="exact"/>
              <w:jc w:val="distribute"/>
              <w:rPr>
                <w:rFonts w:ascii="Times New Roman" w:hAnsi="Times New Roman"/>
                <w:b/>
                <w:bCs/>
                <w:sz w:val="32"/>
              </w:rPr>
            </w:pPr>
            <w:r>
              <w:rPr>
                <w:rFonts w:hint="eastAsia" w:ascii="Times New Roman" w:hAnsi="Times New Roman"/>
                <w:b/>
                <w:bCs/>
                <w:kern w:val="0"/>
                <w:sz w:val="32"/>
              </w:rPr>
              <w:t>学  院：</w:t>
            </w:r>
          </w:p>
        </w:tc>
        <w:tc>
          <w:tcPr>
            <w:tcW w:w="5522" w:type="dxa"/>
            <w:gridSpan w:val="3"/>
            <w:tcBorders>
              <w:bottom w:val="single" w:color="auto" w:sz="8" w:space="0"/>
            </w:tcBorders>
            <w:noWrap w:val="0"/>
            <w:vAlign w:val="bottom"/>
          </w:tcPr>
          <w:p w14:paraId="47129204">
            <w:pPr>
              <w:spacing w:line="520" w:lineRule="exact"/>
              <w:jc w:val="center"/>
              <w:rPr>
                <w:rFonts w:ascii="Times New Roman" w:hAnsi="Times New Roman" w:eastAsia="楷体_GB2312"/>
                <w:sz w:val="32"/>
              </w:rPr>
            </w:pPr>
            <w:r>
              <w:rPr>
                <w:rFonts w:hint="eastAsia" w:ascii="Times New Roman" w:hAnsi="Times New Roman" w:eastAsia="楷体_GB2312"/>
                <w:sz w:val="32"/>
                <w:lang w:val="en-US" w:eastAsia="zh-CN"/>
              </w:rPr>
              <w:t>半导体与物理</w:t>
            </w:r>
            <w:r>
              <w:rPr>
                <w:rFonts w:hint="eastAsia" w:ascii="Times New Roman" w:hAnsi="Times New Roman" w:eastAsia="楷体_GB2312"/>
                <w:sz w:val="32"/>
              </w:rPr>
              <w:t>学院</w:t>
            </w:r>
          </w:p>
        </w:tc>
      </w:tr>
      <w:tr w14:paraId="2E7AE5B2">
        <w:tblPrEx>
          <w:tblCellMar>
            <w:top w:w="0" w:type="dxa"/>
            <w:left w:w="108" w:type="dxa"/>
            <w:bottom w:w="0" w:type="dxa"/>
            <w:right w:w="108" w:type="dxa"/>
          </w:tblCellMar>
        </w:tblPrEx>
        <w:trPr>
          <w:trHeight w:val="719" w:hRule="atLeast"/>
          <w:jc w:val="center"/>
        </w:trPr>
        <w:tc>
          <w:tcPr>
            <w:tcW w:w="2415" w:type="dxa"/>
            <w:noWrap w:val="0"/>
            <w:vAlign w:val="bottom"/>
          </w:tcPr>
          <w:p w14:paraId="6AD55BD6">
            <w:pPr>
              <w:spacing w:line="520" w:lineRule="exact"/>
              <w:jc w:val="distribute"/>
              <w:rPr>
                <w:rFonts w:ascii="Times New Roman" w:hAnsi="Times New Roman"/>
                <w:b/>
                <w:bCs/>
                <w:sz w:val="32"/>
              </w:rPr>
            </w:pPr>
            <w:r>
              <w:rPr>
                <w:rFonts w:hint="eastAsia" w:ascii="Times New Roman" w:hAnsi="Times New Roman"/>
                <w:b/>
                <w:bCs/>
                <w:kern w:val="0"/>
                <w:sz w:val="32"/>
              </w:rPr>
              <w:t>专  业：</w:t>
            </w:r>
          </w:p>
        </w:tc>
        <w:tc>
          <w:tcPr>
            <w:tcW w:w="5522" w:type="dxa"/>
            <w:gridSpan w:val="3"/>
            <w:tcBorders>
              <w:bottom w:val="single" w:color="auto" w:sz="8" w:space="0"/>
            </w:tcBorders>
            <w:noWrap w:val="0"/>
            <w:vAlign w:val="bottom"/>
          </w:tcPr>
          <w:p w14:paraId="7BC7DB6A">
            <w:pPr>
              <w:spacing w:line="520" w:lineRule="exact"/>
              <w:jc w:val="center"/>
              <w:rPr>
                <w:rFonts w:hint="default" w:ascii="Times New Roman" w:hAnsi="Times New Roman" w:eastAsia="楷体_GB2312"/>
                <w:sz w:val="32"/>
                <w:lang w:val="en-US" w:eastAsia="zh-CN"/>
              </w:rPr>
            </w:pPr>
            <w:r>
              <w:rPr>
                <w:rFonts w:hint="eastAsia" w:ascii="Times New Roman" w:hAnsi="Times New Roman" w:eastAsia="楷体_GB2312"/>
                <w:sz w:val="32"/>
                <w:lang w:val="en-US" w:eastAsia="zh-CN"/>
              </w:rPr>
              <w:t>集成电路设计与集成系统</w:t>
            </w:r>
          </w:p>
        </w:tc>
      </w:tr>
      <w:tr w14:paraId="673762EA">
        <w:tblPrEx>
          <w:tblCellMar>
            <w:top w:w="0" w:type="dxa"/>
            <w:left w:w="108" w:type="dxa"/>
            <w:bottom w:w="0" w:type="dxa"/>
            <w:right w:w="108" w:type="dxa"/>
          </w:tblCellMar>
        </w:tblPrEx>
        <w:trPr>
          <w:trHeight w:val="719" w:hRule="atLeast"/>
          <w:jc w:val="center"/>
        </w:trPr>
        <w:tc>
          <w:tcPr>
            <w:tcW w:w="2415" w:type="dxa"/>
            <w:noWrap w:val="0"/>
            <w:vAlign w:val="bottom"/>
          </w:tcPr>
          <w:p w14:paraId="15C3A8F2">
            <w:pPr>
              <w:spacing w:line="520" w:lineRule="exact"/>
              <w:jc w:val="distribute"/>
              <w:rPr>
                <w:rFonts w:ascii="Times New Roman" w:hAnsi="Times New Roman"/>
                <w:b/>
                <w:bCs/>
                <w:kern w:val="0"/>
                <w:sz w:val="32"/>
              </w:rPr>
            </w:pPr>
            <w:r>
              <w:rPr>
                <w:rFonts w:hint="eastAsia" w:ascii="Times New Roman" w:hAnsi="Times New Roman"/>
                <w:b/>
                <w:bCs/>
                <w:kern w:val="0"/>
                <w:sz w:val="32"/>
              </w:rPr>
              <w:t>题  目：</w:t>
            </w:r>
          </w:p>
        </w:tc>
        <w:tc>
          <w:tcPr>
            <w:tcW w:w="5522" w:type="dxa"/>
            <w:gridSpan w:val="3"/>
            <w:tcBorders>
              <w:bottom w:val="single" w:color="auto" w:sz="8" w:space="0"/>
            </w:tcBorders>
            <w:noWrap w:val="0"/>
            <w:vAlign w:val="bottom"/>
          </w:tcPr>
          <w:p w14:paraId="1C10BDD5">
            <w:pPr>
              <w:spacing w:line="520" w:lineRule="exact"/>
              <w:ind w:left="0" w:leftChars="0" w:firstLine="0" w:firstLineChars="0"/>
              <w:jc w:val="center"/>
              <w:rPr>
                <w:rFonts w:ascii="Times New Roman" w:hAnsi="Times New Roman" w:eastAsia="华文楷体"/>
                <w:sz w:val="32"/>
              </w:rPr>
            </w:pPr>
            <w:r>
              <w:rPr>
                <w:rFonts w:hint="default" w:ascii="Times New Roman" w:hAnsi="Times New Roman" w:eastAsia="楷体_GB2312"/>
                <w:b w:val="0"/>
                <w:bCs w:val="0"/>
                <w:sz w:val="32"/>
                <w:lang w:val="en-US" w:eastAsia="zh-CN"/>
              </w:rPr>
              <w:t>基于焊点疲劳失效机理的先进焊料合金选择与可靠性设计优化研究</w:t>
            </w:r>
          </w:p>
        </w:tc>
      </w:tr>
      <w:tr w14:paraId="4DCD6CC9">
        <w:tblPrEx>
          <w:tblCellMar>
            <w:top w:w="0" w:type="dxa"/>
            <w:left w:w="108" w:type="dxa"/>
            <w:bottom w:w="0" w:type="dxa"/>
            <w:right w:w="108" w:type="dxa"/>
          </w:tblCellMar>
        </w:tblPrEx>
        <w:trPr>
          <w:trHeight w:val="739" w:hRule="atLeast"/>
          <w:jc w:val="center"/>
        </w:trPr>
        <w:tc>
          <w:tcPr>
            <w:tcW w:w="2415" w:type="dxa"/>
            <w:noWrap w:val="0"/>
            <w:vAlign w:val="bottom"/>
          </w:tcPr>
          <w:p w14:paraId="14B9F43D">
            <w:pPr>
              <w:spacing w:line="520" w:lineRule="exact"/>
              <w:jc w:val="distribute"/>
              <w:rPr>
                <w:rFonts w:ascii="Times New Roman" w:hAnsi="Times New Roman"/>
                <w:b/>
                <w:bCs/>
                <w:kern w:val="0"/>
                <w:sz w:val="32"/>
              </w:rPr>
            </w:pPr>
            <w:r>
              <w:rPr>
                <w:rFonts w:hint="eastAsia" w:ascii="Times New Roman" w:hAnsi="Times New Roman"/>
                <w:b/>
                <w:bCs/>
                <w:kern w:val="0"/>
                <w:sz w:val="32"/>
              </w:rPr>
              <w:t>指导教师：</w:t>
            </w:r>
          </w:p>
        </w:tc>
        <w:tc>
          <w:tcPr>
            <w:tcW w:w="5522" w:type="dxa"/>
            <w:gridSpan w:val="3"/>
            <w:tcBorders>
              <w:top w:val="single" w:color="auto" w:sz="8" w:space="0"/>
              <w:bottom w:val="single" w:color="auto" w:sz="8" w:space="0"/>
            </w:tcBorders>
            <w:noWrap w:val="0"/>
            <w:vAlign w:val="bottom"/>
          </w:tcPr>
          <w:p w14:paraId="6FCE4F21">
            <w:pPr>
              <w:spacing w:line="520" w:lineRule="exact"/>
              <w:jc w:val="center"/>
              <w:rPr>
                <w:rFonts w:hint="default" w:ascii="Times New Roman" w:hAnsi="Times New Roman" w:eastAsia="楷体_GB2312"/>
                <w:sz w:val="32"/>
                <w:lang w:val="en-US" w:eastAsia="zh-CN"/>
              </w:rPr>
            </w:pPr>
            <w:r>
              <w:rPr>
                <w:rFonts w:hint="eastAsia" w:ascii="Times New Roman" w:hAnsi="Times New Roman" w:eastAsia="楷体_GB2312"/>
                <w:sz w:val="32"/>
                <w:lang w:val="en-US" w:eastAsia="zh-CN"/>
              </w:rPr>
              <w:t>毕开西</w:t>
            </w:r>
          </w:p>
        </w:tc>
      </w:tr>
    </w:tbl>
    <w:p w14:paraId="7754ED69">
      <w:pPr>
        <w:spacing w:line="520" w:lineRule="exact"/>
        <w:jc w:val="center"/>
        <w:rPr>
          <w:rFonts w:ascii="Times New Roman" w:hAnsi="Times New Roman"/>
          <w:sz w:val="32"/>
        </w:rPr>
      </w:pPr>
    </w:p>
    <w:p w14:paraId="67E55CD0">
      <w:pPr>
        <w:spacing w:line="360" w:lineRule="exact"/>
        <w:ind w:left="0" w:leftChars="0" w:firstLine="0" w:firstLineChars="0"/>
        <w:rPr>
          <w:rFonts w:ascii="Times New Roman" w:hAnsi="Times New Roman"/>
          <w:sz w:val="32"/>
        </w:rPr>
      </w:pPr>
    </w:p>
    <w:p w14:paraId="0C4E1E21">
      <w:pPr>
        <w:spacing w:line="360" w:lineRule="exact"/>
        <w:rPr>
          <w:rFonts w:hint="eastAsia" w:ascii="Times New Roman" w:hAnsi="Times New Roman"/>
          <w:sz w:val="32"/>
        </w:rPr>
      </w:pPr>
    </w:p>
    <w:p w14:paraId="246C3F15">
      <w:pPr>
        <w:spacing w:line="360" w:lineRule="exact"/>
        <w:jc w:val="center"/>
        <w:rPr>
          <w:rFonts w:ascii="Times New Roman" w:hAnsi="Times New Roman"/>
          <w:sz w:val="32"/>
        </w:rPr>
      </w:pPr>
    </w:p>
    <w:p w14:paraId="318C94E6">
      <w:pPr>
        <w:ind w:firstLine="320" w:firstLineChars="100"/>
        <w:jc w:val="center"/>
        <w:rPr>
          <w:rFonts w:ascii="Times New Roman" w:hAnsi="Times New Roman" w:eastAsia="黑体"/>
          <w:b/>
          <w:bCs/>
          <w:sz w:val="36"/>
        </w:rPr>
        <w:sectPr>
          <w:headerReference r:id="rId4" w:type="default"/>
          <w:footerReference r:id="rId5" w:type="default"/>
          <w:pgSz w:w="11906" w:h="16838"/>
          <w:pgMar w:top="1440" w:right="1800" w:bottom="1440" w:left="1800" w:header="851" w:footer="992" w:gutter="0"/>
          <w:cols w:space="720" w:num="1"/>
          <w:docGrid w:type="lines" w:linePitch="312" w:charSpace="0"/>
        </w:sectPr>
      </w:pPr>
      <w:r>
        <w:rPr>
          <w:rFonts w:hint="eastAsia" w:ascii="Times New Roman" w:hAnsi="Times New Roman" w:eastAsia="黑体"/>
          <w:sz w:val="32"/>
        </w:rPr>
        <w:t>202</w:t>
      </w:r>
      <w:r>
        <w:rPr>
          <w:rFonts w:ascii="Times New Roman" w:hAnsi="Times New Roman" w:eastAsia="黑体"/>
          <w:sz w:val="32"/>
        </w:rPr>
        <w:t>5</w:t>
      </w:r>
      <w:r>
        <w:rPr>
          <w:rFonts w:hint="eastAsia" w:ascii="Times New Roman" w:hAnsi="Times New Roman" w:eastAsia="黑体"/>
          <w:sz w:val="32"/>
        </w:rPr>
        <w:t xml:space="preserve"> 年</w:t>
      </w:r>
      <w:r>
        <w:rPr>
          <w:rFonts w:hint="eastAsia" w:ascii="Times New Roman" w:hAnsi="Times New Roman" w:eastAsia="黑体"/>
          <w:color w:val="FF0000"/>
          <w:sz w:val="32"/>
        </w:rPr>
        <w:t xml:space="preserve"> </w:t>
      </w:r>
      <w:r>
        <w:rPr>
          <w:rFonts w:ascii="Times New Roman" w:hAnsi="Times New Roman" w:eastAsia="黑体" w:cs="黑体"/>
          <w:color w:val="000000"/>
          <w:sz w:val="32"/>
        </w:rPr>
        <w:t>5</w:t>
      </w:r>
      <w:r>
        <w:rPr>
          <w:rFonts w:hint="eastAsia" w:ascii="Times New Roman" w:hAnsi="Times New Roman" w:eastAsia="黑体"/>
          <w:color w:val="FF0000"/>
          <w:sz w:val="32"/>
        </w:rPr>
        <w:t xml:space="preserve"> </w:t>
      </w:r>
      <w:r>
        <w:rPr>
          <w:rFonts w:hint="eastAsia" w:ascii="Times New Roman" w:hAnsi="Times New Roman" w:eastAsia="黑体"/>
          <w:sz w:val="32"/>
        </w:rPr>
        <w:t>月</w:t>
      </w:r>
      <w:r>
        <w:rPr>
          <w:rFonts w:hint="eastAsia" w:ascii="Times New Roman" w:hAnsi="Times New Roman" w:eastAsia="黑体"/>
          <w:color w:val="FF0000"/>
          <w:sz w:val="32"/>
        </w:rPr>
        <w:t xml:space="preserve"> </w:t>
      </w:r>
      <w:r>
        <w:rPr>
          <w:rFonts w:hint="eastAsia" w:ascii="Times New Roman" w:hAnsi="Times New Roman" w:eastAsia="黑体"/>
          <w:sz w:val="32"/>
          <w:lang w:val="en-US" w:eastAsia="zh-CN"/>
        </w:rPr>
        <w:t>30</w:t>
      </w:r>
      <w:r>
        <w:rPr>
          <w:rFonts w:hint="eastAsia" w:ascii="Times New Roman" w:hAnsi="Times New Roman" w:eastAsia="黑体"/>
          <w:sz w:val="32"/>
        </w:rPr>
        <w:t xml:space="preserve">日 </w:t>
      </w:r>
    </w:p>
    <w:p w14:paraId="1FAD3AE2">
      <w:pPr>
        <w:widowControl w:val="0"/>
        <w:spacing w:before="0" w:after="0" w:line="560" w:lineRule="exact"/>
        <w:ind w:left="0" w:leftChars="0" w:right="0" w:rightChars="0" w:firstLine="0" w:firstLineChars="0"/>
        <w:jc w:val="center"/>
        <w:rPr>
          <w:rFonts w:hint="default" w:ascii="Times New Roman" w:hAnsi="Times New Roman" w:eastAsia="黑体" w:cs="Times New Roman"/>
          <w:b/>
          <w:bCs/>
          <w:kern w:val="2"/>
          <w:sz w:val="36"/>
          <w:szCs w:val="24"/>
          <w:lang w:val="en-US" w:eastAsia="zh-CN" w:bidi="ar-SA"/>
        </w:rPr>
      </w:pPr>
      <w:r>
        <w:rPr>
          <w:rFonts w:hint="default" w:ascii="Times New Roman" w:hAnsi="Times New Roman" w:eastAsia="黑体" w:cs="Times New Roman"/>
          <w:b/>
          <w:bCs/>
          <w:kern w:val="2"/>
          <w:sz w:val="36"/>
          <w:szCs w:val="24"/>
          <w:lang w:val="en-US" w:eastAsia="zh-CN" w:bidi="ar-SA"/>
        </w:rPr>
        <w:t>基于焊点疲劳失效机理的先进</w:t>
      </w:r>
    </w:p>
    <w:p w14:paraId="2FCD6DAB">
      <w:pPr>
        <w:widowControl w:val="0"/>
        <w:spacing w:before="0" w:after="0" w:line="560" w:lineRule="exact"/>
        <w:ind w:left="0" w:leftChars="0" w:right="0" w:rightChars="0" w:firstLine="0" w:firstLineChars="0"/>
        <w:jc w:val="center"/>
        <w:rPr>
          <w:rFonts w:hint="eastAsia" w:ascii="Times New Roman" w:hAnsi="Times New Roman" w:eastAsia="黑体" w:cs="Times New Roman"/>
          <w:b/>
          <w:bCs/>
          <w:kern w:val="2"/>
          <w:sz w:val="36"/>
          <w:szCs w:val="24"/>
          <w:lang w:eastAsia="zh-CN" w:bidi="ar-SA"/>
        </w:rPr>
      </w:pPr>
      <w:r>
        <w:rPr>
          <w:rFonts w:hint="default" w:ascii="Times New Roman" w:hAnsi="Times New Roman" w:eastAsia="黑体" w:cs="Times New Roman"/>
          <w:b/>
          <w:bCs/>
          <w:kern w:val="2"/>
          <w:sz w:val="36"/>
          <w:szCs w:val="24"/>
          <w:lang w:val="en-US" w:eastAsia="zh-CN" w:bidi="ar-SA"/>
        </w:rPr>
        <w:t>焊料合金选择与可靠性设计优化研究</w:t>
      </w:r>
    </w:p>
    <w:p w14:paraId="7BD9AFF7">
      <w:pPr>
        <w:spacing w:before="80" w:after="70"/>
        <w:ind w:left="0" w:right="0" w:firstLine="480"/>
        <w:jc w:val="left"/>
        <w:rPr>
          <w:rFonts w:ascii="Times New Roman" w:hAnsi="Times New Roman" w:eastAsia="宋体" w:cs="宋体"/>
          <w:b w:val="0"/>
          <w:bCs w:val="0"/>
          <w:color w:val="000000"/>
          <w:sz w:val="21"/>
          <w:szCs w:val="21"/>
        </w:rPr>
      </w:pPr>
    </w:p>
    <w:p w14:paraId="77D76F0F">
      <w:pPr>
        <w:widowControl w:val="0"/>
        <w:spacing w:before="0" w:after="0" w:line="560" w:lineRule="exact"/>
        <w:ind w:left="0" w:leftChars="0" w:right="0" w:rightChars="0" w:firstLine="0" w:firstLineChars="0"/>
        <w:jc w:val="center"/>
        <w:rPr>
          <w:rFonts w:hint="default" w:ascii="Times New Roman" w:hAnsi="Times New Roman" w:eastAsia="楷体_GB2312" w:cs="Times New Roman"/>
          <w:b w:val="0"/>
          <w:bCs w:val="0"/>
          <w:kern w:val="2"/>
          <w:sz w:val="28"/>
          <w:szCs w:val="24"/>
          <w:lang w:val="en-US" w:eastAsia="zh-CN" w:bidi="ar-SA"/>
        </w:rPr>
      </w:pPr>
      <w:r>
        <w:rPr>
          <w:rFonts w:hint="eastAsia" w:ascii="Times New Roman" w:hAnsi="Times New Roman" w:eastAsia="楷体_GB2312" w:cs="Times New Roman"/>
          <w:b w:val="0"/>
          <w:bCs w:val="0"/>
          <w:kern w:val="2"/>
          <w:sz w:val="28"/>
          <w:szCs w:val="24"/>
          <w:lang w:val="en-US" w:eastAsia="zh-CN" w:bidi="ar-SA"/>
        </w:rPr>
        <w:t>李泉胜*</w:t>
      </w:r>
    </w:p>
    <w:p w14:paraId="6FFEF1A5">
      <w:pPr>
        <w:spacing w:before="80" w:after="70"/>
        <w:ind w:left="0" w:right="0" w:firstLine="480"/>
        <w:jc w:val="left"/>
        <w:rPr>
          <w:rFonts w:hint="default" w:ascii="Times New Roman" w:hAnsi="Times New Roman" w:eastAsia="宋体" w:cs="宋体"/>
          <w:b w:val="0"/>
          <w:bCs w:val="0"/>
          <w:color w:val="000000"/>
          <w:sz w:val="21"/>
          <w:szCs w:val="21"/>
          <w:lang w:val="en-US" w:eastAsia="zh-CN"/>
        </w:rPr>
      </w:pPr>
    </w:p>
    <w:p w14:paraId="13D1A8FF">
      <w:pPr>
        <w:widowControl w:val="0"/>
        <w:spacing w:before="0" w:after="0" w:line="560" w:lineRule="exact"/>
        <w:ind w:left="0" w:leftChars="0" w:right="0" w:rightChars="0" w:firstLine="378" w:firstLineChars="200"/>
        <w:jc w:val="both"/>
        <w:rPr>
          <w:rFonts w:hint="eastAsia" w:ascii="Times New Roman" w:hAnsi="Times New Roman" w:cs="Times New Roman"/>
          <w:b w:val="0"/>
          <w:bCs w:val="0"/>
          <w:color w:val="auto"/>
          <w:kern w:val="2"/>
          <w:sz w:val="18"/>
          <w:szCs w:val="18"/>
          <w:lang w:eastAsia="zh-CN" w:bidi="ar-SA"/>
        </w:rPr>
      </w:pPr>
      <w:bookmarkStart w:id="0" w:name="_Toc0"/>
      <w:r>
        <w:rPr>
          <w:rFonts w:hint="eastAsia" w:ascii="Times New Roman" w:hAnsi="Times New Roman" w:cs="Times New Roman"/>
          <w:b w:val="0"/>
          <w:bCs w:val="0"/>
          <w:color w:val="auto"/>
          <w:kern w:val="2"/>
          <w:sz w:val="18"/>
          <w:szCs w:val="18"/>
          <w:lang w:val="en-US" w:eastAsia="zh-CN" w:bidi="ar-SA"/>
        </w:rPr>
        <w:t>摘要</w:t>
      </w:r>
      <w:bookmarkEnd w:id="0"/>
      <w:r>
        <w:rPr>
          <w:rFonts w:hint="eastAsia" w:ascii="Times New Roman" w:hAnsi="Times New Roman" w:cs="Times New Roman"/>
          <w:b w:val="0"/>
          <w:bCs w:val="0"/>
          <w:color w:val="auto"/>
          <w:kern w:val="2"/>
          <w:sz w:val="18"/>
          <w:szCs w:val="18"/>
          <w:lang w:val="en-US" w:eastAsia="zh-CN" w:bidi="ar-SA"/>
        </w:rPr>
        <w:t>：为了提升电子封装中焊点的可靠性并延长其服役寿命，本文基于焊点疲劳失效机理，研究了先进焊料合金的选择方法及可靠性设计优化策略。通过分析焊点的结构特征、工作环境及疲劳失效模式，探讨了影响焊点疲劳寿命的关键因素，包括材料特性、工艺参数和服役条件。对比了不同焊料合金的力学性能、润湿性和热稳定性，并建立了基于疲劳失效机理的焊料合金选择评价体系。同时，结合数值模拟和实验研究，优化了焊点的结构设计和工艺参数，以提高其抗疲劳性能。研究发现，采用特定成分的无铅焊料合金（如Sn-Ag-Cu系）并结合优化的焊点几何形状，可提升焊点的疲劳寿命。通过调整焊接温度和时间等工艺参数，能够进一步改善焊点的可靠性。本研究为电子封装中焊点的可靠性设计提供了理论依据和实用方法，对提高电子设备的长期稳定运行具有重要参考价值</w:t>
      </w:r>
      <w:r>
        <w:rPr>
          <w:rFonts w:hint="eastAsia" w:ascii="Times New Roman" w:hAnsi="Times New Roman" w:cs="Times New Roman"/>
          <w:b w:val="0"/>
          <w:bCs w:val="0"/>
          <w:color w:val="auto"/>
          <w:kern w:val="2"/>
          <w:sz w:val="18"/>
          <w:szCs w:val="18"/>
          <w:lang w:eastAsia="zh-CN" w:bidi="ar-SA"/>
        </w:rPr>
        <w:t>。</w:t>
      </w:r>
    </w:p>
    <w:p w14:paraId="536AB7C1">
      <w:pPr>
        <w:widowControl w:val="0"/>
        <w:spacing w:before="0" w:after="0" w:line="560" w:lineRule="exact"/>
        <w:ind w:left="0" w:leftChars="0" w:right="0" w:rightChars="0" w:firstLine="0" w:firstLineChars="0"/>
        <w:jc w:val="both"/>
        <w:rPr>
          <w:rFonts w:hint="eastAsia" w:ascii="Times New Roman" w:hAnsi="Times New Roman" w:cs="Times New Roman"/>
          <w:b/>
          <w:bCs w:val="0"/>
          <w:kern w:val="2"/>
          <w:sz w:val="18"/>
          <w:szCs w:val="24"/>
          <w:lang w:eastAsia="zh-CN" w:bidi="ar-SA"/>
        </w:rPr>
      </w:pPr>
      <w:r>
        <w:rPr>
          <w:rFonts w:hint="eastAsia" w:ascii="Times New Roman" w:hAnsi="Times New Roman" w:cs="Times New Roman"/>
          <w:b/>
          <w:bCs w:val="0"/>
          <w:kern w:val="2"/>
          <w:sz w:val="18"/>
          <w:szCs w:val="24"/>
          <w:lang w:eastAsia="zh-CN" w:bidi="ar-SA"/>
        </w:rPr>
        <w:t>关键词： 焊点疲劳失效，焊料合金，可靠性设计，无铅焊料，电子封装</w:t>
      </w:r>
    </w:p>
    <w:p w14:paraId="1768CA79">
      <w:pPr>
        <w:spacing w:before="80" w:after="70"/>
        <w:ind w:left="0" w:leftChars="0" w:right="0" w:firstLine="0" w:firstLineChars="0"/>
        <w:jc w:val="left"/>
        <w:rPr>
          <w:rFonts w:hint="eastAsia" w:ascii="Times New Roman" w:hAnsi="Times New Roman" w:eastAsia="宋体" w:cs="宋体"/>
          <w:b w:val="0"/>
          <w:bCs w:val="0"/>
          <w:color w:val="000000"/>
          <w:sz w:val="21"/>
          <w:szCs w:val="21"/>
          <w:lang w:eastAsia="zh-CN"/>
        </w:rPr>
      </w:pPr>
    </w:p>
    <w:p w14:paraId="3AAE3D93">
      <w:pPr>
        <w:pStyle w:val="2"/>
        <w:bidi w:val="0"/>
        <w:rPr>
          <w:rFonts w:hint="eastAsia" w:ascii="Times New Roman" w:hAnsi="Times New Roman" w:eastAsia="黑体"/>
          <w:lang w:eastAsia="zh-CN"/>
        </w:rPr>
      </w:pPr>
      <w:bookmarkStart w:id="1" w:name="_Toc3"/>
      <w:r>
        <w:rPr>
          <w:rFonts w:ascii="Times New Roman" w:hAnsi="Times New Roman"/>
        </w:rPr>
        <w:t>第一章</w:t>
      </w:r>
      <w:bookmarkEnd w:id="1"/>
      <w:r>
        <w:rPr>
          <w:rFonts w:hint="eastAsia" w:ascii="Times New Roman" w:hAnsi="Times New Roman"/>
          <w:lang w:val="en-US" w:eastAsia="zh-CN"/>
        </w:rPr>
        <w:t>引言</w:t>
      </w:r>
    </w:p>
    <w:p w14:paraId="3321420B">
      <w:pPr>
        <w:pStyle w:val="3"/>
        <w:bidi w:val="0"/>
        <w:rPr>
          <w:rFonts w:hint="eastAsia" w:ascii="Times New Roman" w:hAnsi="Times New Roman"/>
          <w:lang w:val="en-US" w:eastAsia="zh-CN"/>
        </w:rPr>
      </w:pPr>
      <w:bookmarkStart w:id="2" w:name="_Toc4"/>
      <w:r>
        <w:rPr>
          <w:rFonts w:hint="eastAsia" w:ascii="Times New Roman" w:hAnsi="Times New Roman"/>
          <w:lang w:val="en-US" w:eastAsia="zh-CN"/>
        </w:rPr>
        <w:t>1.1 研究背景与意义</w:t>
      </w:r>
      <w:bookmarkEnd w:id="2"/>
    </w:p>
    <w:p w14:paraId="65C391BE">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焊点作为连接芯片与基板的关键媒介，承担着电气导通、机械支撑和热传导等多重功能。这些微小的金属连接点虽然体积不大，却直接影响着整个电子设备的性能和可靠性</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。随着电子产品向小型化、高密度化方向发展，焊点尺寸不断缩小，所承受的机械应力和热应力却日益增大，这使得焊点可靠性问题变得尤为突出</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"[2]"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。据统计，在电子设备失效案例中，焊点失效占比高达60%以上，成为制约产品寿命的重要因素</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"[3]"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7CCA24E5">
      <w:pPr>
        <w:spacing w:before="80" w:after="70"/>
        <w:ind w:left="0" w:right="0" w:firstLine="480"/>
        <w:jc w:val="left"/>
        <w:rPr>
          <w:rFonts w:ascii="Times New Roman" w:hAnsi="Times New Roman" w:eastAsia="宋体" w:cs="宋体"/>
          <w:b w:val="0"/>
          <w:bCs w:val="0"/>
          <w:color w:val="000000"/>
          <w:sz w:val="21"/>
          <w:szCs w:val="21"/>
        </w:rPr>
      </w:pPr>
      <w:r>
        <w:rPr>
          <w:rFonts w:hint="eastAsia" w:ascii="Times New Roman" w:hAnsi="Times New Roman" w:eastAsia="宋体" w:cs="宋体"/>
          <w:b w:val="0"/>
          <w:bCs w:val="0"/>
          <w:color w:val="000000"/>
          <w:sz w:val="21"/>
          <w:szCs w:val="21"/>
          <w:lang w:eastAsia="zh-CN"/>
        </w:rPr>
        <w:drawing>
          <wp:anchor distT="0" distB="0" distL="114300" distR="114300" simplePos="0" relativeHeight="251659264" behindDoc="0" locked="0" layoutInCell="1" allowOverlap="1">
            <wp:simplePos x="0" y="0"/>
            <wp:positionH relativeFrom="column">
              <wp:posOffset>-81280</wp:posOffset>
            </wp:positionH>
            <wp:positionV relativeFrom="paragraph">
              <wp:posOffset>1139825</wp:posOffset>
            </wp:positionV>
            <wp:extent cx="6108065" cy="276860"/>
            <wp:effectExtent l="0" t="0" r="635" b="2540"/>
            <wp:wrapNone/>
            <wp:docPr id="5" name="图片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
                    <pic:cNvPicPr>
                      <a:picLocks noChangeAspect="1"/>
                    </pic:cNvPicPr>
                  </pic:nvPicPr>
                  <pic:blipFill>
                    <a:blip r:embed="rId9"/>
                    <a:stretch>
                      <a:fillRect/>
                    </a:stretch>
                  </pic:blipFill>
                  <pic:spPr>
                    <a:xfrm>
                      <a:off x="0" y="0"/>
                      <a:ext cx="6108065" cy="276860"/>
                    </a:xfrm>
                    <a:prstGeom prst="rect">
                      <a:avLst/>
                    </a:prstGeom>
                  </pic:spPr>
                </pic:pic>
              </a:graphicData>
            </a:graphic>
          </wp:anchor>
        </w:drawing>
      </w:r>
      <w:r>
        <w:rPr>
          <w:rFonts w:ascii="Times New Roman" w:hAnsi="Times New Roman" w:eastAsia="宋体" w:cs="宋体"/>
          <w:b w:val="0"/>
          <w:bCs w:val="0"/>
          <w:color w:val="000000"/>
          <w:sz w:val="21"/>
          <w:szCs w:val="21"/>
        </w:rPr>
        <w:t>焊点疲劳失效主要表现为热机械疲劳和振动疲劳两种形式。在温度循环工况下，由于封装材料热膨胀系数不匹配，焊点会承受周期性热应力，导致裂纹萌生和扩展</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"[4]"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。在高功率电子设备中，频繁的开关机操作会加速这种热疲劳过程</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"[5]"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。另一方面，在振动环境中，焊点会受到交变机械应力作用，容易发生断裂失效</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"[6]"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[6]</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。这些失效不仅会造成信号传输中断，严重时还会导致整个系统瘫痪，给航空航天、汽车电子等关键领域带来巨大损失</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"[7]"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[7]</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00E304A5">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目前，无铅焊料已成为电子封装领域的主流选择，但传统SAC系焊料仍存在诸多不足。研究表明，SAC305焊料在高温环境下容易出现界面IMC层增厚，导致焊点脆性增加</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"[8]"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[8]</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。同时，在循环载荷作用下，焊料内部会形成疲劳损伤累积，最终引发断裂</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"[9]"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[9]</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。这些问题严重制约了电子产品的使用寿命和可靠性，亟需开发新型焊料合金和优化设计方案</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"[10]"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[10]</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077817B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开展先进焊料合金选择与可靠性设计优化研究具有重要的现实意义。通过深入理解焊点疲劳失效机理，可以为材料选择提供理论依据</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"[11]"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。添加适量Bi元素可以改善焊料的抗疲劳性能，而Cu6Sn5纳米颗粒的引入则能增强界面结合强度</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"[8]"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[8]</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"[12]"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。基于可靠性设计方法，可以优化焊点结构和工艺参数，提升其服役寿命</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"[13]"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。实验证明，采用应变控制方法比应力控制方法更能准确评估焊点的疲劳特性</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"[3]"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。建立精确的寿命预测模型，有助于在产品设计阶段就评估其可靠性表现</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"[14]"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7AC9628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这项研究不仅能够推动电子封装技术的进步，还能为相关行业提供技术支撑。在5G通信、新能源汽车等新兴领域，对高可靠性电子产品的需求日益增长</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。通过优化焊料合金选择和设计方法，可以有效提升这些关键设备的可靠性，降低维护成本，具有经济效益和社会价值</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。同时，研究成果也将为电子封装材料的创新发展提供新的思路和方向</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"[2]"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DABB4F3">
      <w:pPr>
        <w:pStyle w:val="3"/>
        <w:bidi w:val="0"/>
        <w:rPr>
          <w:rFonts w:ascii="Times New Roman" w:hAnsi="Times New Roman"/>
        </w:rPr>
      </w:pPr>
      <w:bookmarkStart w:id="3" w:name="_Toc5"/>
      <w:r>
        <w:rPr>
          <w:rFonts w:ascii="Times New Roman" w:hAnsi="Times New Roman"/>
        </w:rPr>
        <w:t>1.2 国内外研究现状</w:t>
      </w:r>
      <w:bookmarkEnd w:id="3"/>
    </w:p>
    <w:p w14:paraId="41080F8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失效机理的研究一直是电子封装领域的热点问题。国内外学者通过实验和数值模拟等手段，对焊点在不同载荷条件下的失效行为进行了深入探索。研究表明，热机械疲劳是导致焊点失效的主要原因之一，在温度循环条件下，由于材料热膨胀系数不匹配而产生的应力应变会导致焊点裂纹萌生和扩展</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"[2]"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。近年来，随着电子设备向小型化、高密度化发展，微焊点的疲劳问题日益突出，研究者们开始关注微观组织演变对焊点可靠性的影响</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"[3]"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。在失效机理建模方面，应变控制和应力控制两种方法被广泛应用于焊点疲劳寿命评估，但两者在预测精度上仍存在一定差异。</w:t>
      </w:r>
    </w:p>
    <w:p w14:paraId="72A3D083">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先进焊料合金开发方面，无铅焊料因其环保特性成为研究重点。传统的Sn-Ag-Cu(SAC)系列焊料虽然具有良好的力学性能，但在某些应用场景下仍存在不足。为此，研究者们尝试通过添加微量元素或开发新型合金体系来改善焊料性能。添加Bi元素可以提高焊料的抗剪切疲劳性能</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"[7]"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[7]</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，而Cu6Sn5纳米颗粒的引入则能优化焊点的微观组织和力学性能</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"[8]"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[8]</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。环氧基Sn-Bi焊膏因其良好的热稳定性也受到关注</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"[12]"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。这些新型焊料在实际应用中仍面临工艺适应性、成本控制等挑战。</w:t>
      </w:r>
    </w:p>
    <w:p w14:paraId="705CA06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可靠性设计优化是提升焊点性能的另一重要途径。目前的研究主要集中在结构优化和工艺参数控制两个方面。在结构设计方面，BGA焊点的几何形状和布局对可靠性有重要影响，研究者们通过建立变可信度近似模型来优化设计参数</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"[13]"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。在工艺控制方面，回流焊接温度曲线和冷却速率的优化可以有效改善焊点质量</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"[10]"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[10]</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。数据驱动方法为焊点可靠性预测提供了新思路，但面临着数据获取困难和模型泛化能力不足等问题</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"[11]"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。随机振动条件下的焊点可靠性仿真也取得了一定进展，但预测精度仍需提高</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"[6]"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[6]</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13531C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尽管已有研究取得了成果，但仍存在一些急需解决的问题。现有疲劳失效模型大多基于宏观力学行为，对微观组织演变的考虑不足</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"[9]"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[9]</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。新型焊料合金的性能数据库不够完善，缺乏系统性的评价标准</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"[7]"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[7]</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。多物理场耦合作用下的焊点可靠性预测方法仍需改进，在考虑制造工艺变异性的情况下</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"[5]"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。针对特定应用场景的可靠性设计指南还不够完善，难以满足工程实践的需求</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。这些问题的解决将有助于进一步提升电子封装的可靠性水平。</w:t>
      </w:r>
    </w:p>
    <w:p w14:paraId="27C1E789">
      <w:pPr>
        <w:pStyle w:val="3"/>
        <w:bidi w:val="0"/>
        <w:rPr>
          <w:rFonts w:ascii="Times New Roman" w:hAnsi="Times New Roman"/>
        </w:rPr>
      </w:pPr>
      <w:bookmarkStart w:id="4" w:name="_Toc6"/>
      <w:r>
        <w:rPr>
          <w:rFonts w:ascii="Times New Roman" w:hAnsi="Times New Roman"/>
        </w:rPr>
        <w:t>1.3 研究目的与内容</w:t>
      </w:r>
      <w:bookmarkEnd w:id="4"/>
    </w:p>
    <w:p w14:paraId="36160BF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立足于电子封装领域的关键可靠性问题，旨在通过系统性研究解决焊点疲劳失效这一行业痛点。随着电子产品向微型化、高密度化发展，传统焊料合金已难以满足现代电子设备对可靠性的严苛要求。本研究将聚焦三个核心目标：深入解析焊点在不同工况下的疲劳失效机理，为材料选择提供理论支撑；建立科学的焊料合金评价体系，筛选出具有优异抗疲劳性能的新型焊料；提出针对性的可靠性设计优化方案，实现焊点寿命的提升</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"[13]"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[13]</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2F680155">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研究内容将围绕四个关键维度展开。在机理研究层面，重点分析热-机械耦合载荷作用下焊点的裂纹萌生与扩展规律，温度循环对界面IMC层演化的影响</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"[4]"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通过显微组织观察和力学性能测试，揭示Cu6Sn5金属间化合物的形成机制及其对焊点可靠性的双重作用。在材料选择方面，系统比较SAC305、Sn-Bi等主流无铅焊料的疲劳特性，重点考察Bi元素添加对焊点抗剪切疲劳性能的改善效果</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"[9]"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[9]</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。采用先进的微观表征技术，建立焊料合金成分-组织-性能的定量关系模型</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"[12]"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[12]</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74113365">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可靠性设计优化是本研究的实践重点。基于有限元仿真和实验验证相结合的方法，研究BGA封装中焊点几何参数对应力分布的影响规律</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。通过构建变可信度近似模型，实现焊点结构参数的快速优化设计。同时，针对不同服役环境（如振动、温度冲击等），开发相应的工艺控制策略，优化回流焊温度曲线以改善焊点微观结构</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"[10]"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[10]</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"[6]"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[6]</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。特别关注双面塑封BGA器件在温度循环条件下的可靠性提升方案</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"[5]"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4095330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为确保研究结论的可靠性，将设计系统的验证实验。采用应变控制和应力控制两种实验方法对比评估SAC305焊点的疲劳性能，通过加速寿命试验获取不同焊料合金的疲劳寿命数据。结合数据驱动方法，建立考虑多因素耦合作用的焊点寿命预测模型</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"[11]"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[11]</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。最终研究成果将为电子封装行业提供从材料选择到工艺优化的完整解决方案，提升焊点在严苛环境下的服役可靠性。</w:t>
      </w:r>
    </w:p>
    <w:p w14:paraId="035213CA">
      <w:pPr>
        <w:pStyle w:val="2"/>
        <w:bidi w:val="0"/>
        <w:rPr>
          <w:rFonts w:ascii="Times New Roman" w:hAnsi="Times New Roman"/>
        </w:rPr>
      </w:pPr>
      <w:bookmarkStart w:id="5" w:name="_Toc7"/>
    </w:p>
    <w:p w14:paraId="4055F2EC">
      <w:pPr>
        <w:pStyle w:val="2"/>
        <w:bidi w:val="0"/>
        <w:rPr>
          <w:rFonts w:ascii="Times New Roman" w:hAnsi="Times New Roman"/>
        </w:rPr>
      </w:pPr>
      <w:r>
        <w:rPr>
          <w:rFonts w:ascii="Times New Roman" w:hAnsi="Times New Roman"/>
        </w:rPr>
        <w:t>第二章 焊点疲劳失效机理分析</w:t>
      </w:r>
      <w:bookmarkEnd w:id="5"/>
    </w:p>
    <w:p w14:paraId="631D2287">
      <w:pPr>
        <w:pStyle w:val="3"/>
        <w:bidi w:val="0"/>
        <w:rPr>
          <w:rFonts w:ascii="Times New Roman" w:hAnsi="Times New Roman"/>
        </w:rPr>
      </w:pPr>
      <w:bookmarkStart w:id="6" w:name="_Toc8"/>
      <w:r>
        <w:rPr>
          <w:rFonts w:ascii="Times New Roman" w:hAnsi="Times New Roman"/>
        </w:rPr>
        <w:t>2.1 焊点的结构与工作环境</w:t>
      </w:r>
      <w:bookmarkEnd w:id="6"/>
    </w:p>
    <w:p w14:paraId="2DBA65B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是电子封装中连接芯片与基板的关键结构，基本组成包括焊料合金、金属间化合物（IMC）层以及基板与元器件的金属化层。典型的焊点结构可以看作是一个“三明治”结构：最上层是元器件侧的金属化层（如铜或镍）</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17</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，中间是焊料合金与IMC的复合层，最下层则是基板侧的金属化层。这种看似简单的结构在实际工作中却承担着复杂的使命——既要确保电气信号的稳定传输，又要承受各种环境应力带来的挑战。</w:t>
      </w:r>
    </w:p>
    <w:p w14:paraId="62C27615">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电气方面，焊点需要保持稳定的低电阻连接。现代电子设备的工作频率越来越高，高频信号对焊点的导电性能提出了更严格的要求。任何微小的界面缺陷或IMC层异常生长都可能导致信号完整性下降，甚至引发间歇性断路故障。同时，焊点还要承受工作电流带来的焦耳热效应，在大功率器件中，局部过热会加速焊料合金的老化过程。</w:t>
      </w:r>
    </w:p>
    <w:p w14:paraId="5A06EC53">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热环境对焊点的考验更为严峻。电子设备工作时会产生大量热量，而关机后温度又迅速下降，这种反复的热循环会导致焊点经历持续的热膨胀与收缩。由于焊料与基板材料的热膨胀系数存在差异，这种不匹配会在焊点内部产生周期性热应力。研究表明，在温度循环条件下，焊点最容易在IMC层与焊料交界处萌生裂纹，并逐渐扩展至整个焊点</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。更复杂的是，不同工作模式下设备内部温度分布不均，可能使某些焊点承受比其他部位更大的热机械应力。</w:t>
      </w:r>
    </w:p>
    <w:p w14:paraId="15E54C3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机械应力同样不容忽视。便携式电子设备经常面临振动、冲击等动态载荷，这些外力会直接作用于焊点结构</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"[4]" </w:instrText>
      </w:r>
      <w:r>
        <w:rPr>
          <w:rFonts w:ascii="Times New Roman" w:hAnsi="Times New Roman" w:eastAsia="宋体" w:cs="宋体"/>
          <w:b w:val="0"/>
          <w:bCs w:val="0"/>
          <w:color w:val="000000"/>
          <w:sz w:val="21"/>
          <w:szCs w:val="21"/>
        </w:rPr>
        <w:fldChar w:fldCharType="separate"/>
      </w:r>
      <w:r>
        <w:rPr>
          <w:rFonts w:hint="eastAsia" w:ascii="Times New Roman" w:hAnsi="Times New Roman" w:cs="宋体"/>
          <w:b w:val="0"/>
          <w:bCs w:val="0"/>
          <w:color w:val="000000"/>
          <w:sz w:val="21"/>
          <w:szCs w:val="21"/>
          <w:vertAlign w:val="superscript"/>
          <w:lang w:eastAsia="zh-CN"/>
        </w:rPr>
        <w:t>[4]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。在振动环境下，焊点主要承受剪切应力，疲劳寿命与振动频率、振幅密切相关</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"[14]"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。而对于某些特殊应用场景（如汽车电子），焊点还需要耐受长期机械振动与随机冲击的复合作用。在组装和维修过程中，焊点还可能受到不当外力作用，这些都可能成为潜在的失效诱因。</w:t>
      </w:r>
    </w:p>
    <w:p w14:paraId="1962B57A">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值得注意的是，现代电子封装技术正朝着微型化、高密度方向发展，这使得单个焊点的尺寸越来越小。微型焊点的比表面积增大，导致环境因素对其影响更为。同时，三维封装等新技术的应用，使得焊点需要承受更复杂的多轴应力状态。这些变化都使得焊点的工作环境变得更加苛刻，对其可靠性提出了更高要求。</w:t>
      </w:r>
    </w:p>
    <w:p w14:paraId="126F7E35">
      <w:pPr>
        <w:pStyle w:val="3"/>
        <w:bidi w:val="0"/>
        <w:rPr>
          <w:rFonts w:ascii="Times New Roman" w:hAnsi="Times New Roman"/>
        </w:rPr>
      </w:pPr>
      <w:bookmarkStart w:id="7" w:name="_Toc9"/>
      <w:r>
        <w:rPr>
          <w:rFonts w:ascii="Times New Roman" w:hAnsi="Times New Roman"/>
        </w:rPr>
        <w:t>2.2 焊点疲劳失效的主要形式</w:t>
      </w:r>
      <w:bookmarkEnd w:id="7"/>
    </w:p>
    <w:p w14:paraId="786F58E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焊点疲劳失效是电子封装中最常见的可靠性问题之一，主要表现为热疲劳和机械疲劳两种主要形式。这两种失效形式虽然表现不同，但都会导致焊点连接性能下降，最终引发电子设备故障。</w:t>
      </w:r>
    </w:p>
    <w:p w14:paraId="3B2D8EC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热疲劳失效是最普遍的焊点失效模式，主要由温度循环变化引起。当电子设备工作时，焊点会经历反复的热膨胀和收缩，导致内部应力不断积累。由于焊料合金与基板材料的热膨胀系数（CTE）不匹配，温度变化时两者膨胀程度不同，焊点内部会产生剪切应力。长期作用下，这种应力会导致焊料内部形成微裂纹，并逐渐扩展直至断裂。在高低温循环条件下，焊点更容易出现热疲劳失效，例如汽车电子和航空航天设备中的焊点经常面临这种挑战。</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w:t>
      </w:r>
      <w:r>
        <w:rPr>
          <w:rFonts w:hint="eastAsia" w:ascii="Times New Roman" w:hAnsi="Times New Roman" w:cs="宋体"/>
          <w:b w:val="0"/>
          <w:bCs w:val="0"/>
          <w:color w:val="000000"/>
          <w:sz w:val="21"/>
          <w:szCs w:val="21"/>
          <w:lang w:val="en-US" w:eastAsia="zh-CN"/>
        </w:rPr>
        <w:t>9</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p>
    <w:p w14:paraId="2FC10A3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机械疲劳失效则主要由外部机械载荷引起，包括振动、冲击或持续应力作用。当电子设备受到机械振动或冲击时，焊点会承受周期性应力，导致材料内部产生塑性变形。这种变形会引发位错运动，最终形成疲劳裂纹并扩展。机械疲劳失效在移动设备、车载电子等应用中尤为常见，因为这些设备经常面临振动环境。焊点的几何形状和尺寸也会影响其抗机械疲劳性能，例如球栅阵列（BGA）焊点由于结构特点，在某些方向上更容易发生机械疲劳断裂。</w:t>
      </w:r>
    </w:p>
    <w:p w14:paraId="03BF167E">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除了这两种主要失效形式，焊点还可能因电迁移和腐蚀等因素加速疲劳失效。电迁移是指在高电流密度下，金属原子因电子风力作用发生定向迁移，导致焊点局部材料损耗或空洞形成。</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w:t>
      </w:r>
      <w:r>
        <w:rPr>
          <w:rFonts w:hint="eastAsia" w:ascii="Times New Roman" w:hAnsi="Times New Roman" w:cs="宋体"/>
          <w:b w:val="0"/>
          <w:bCs w:val="0"/>
          <w:color w:val="000000"/>
          <w:sz w:val="21"/>
          <w:szCs w:val="21"/>
          <w:lang w:val="en-US" w:eastAsia="zh-CN"/>
        </w:rPr>
        <w:t>6</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而腐蚀则可能由于环境湿度或污染物侵入，导致焊点表面氧化或化学侵蚀，降低其机械强度。这些因素往往与热疲劳或机械疲劳共同作用，进一步缩短焊点的使用寿命。</w:t>
      </w:r>
    </w:p>
    <w:p w14:paraId="14E7921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失效的发展过程通常经历几个阶段：首先是微裂纹的萌生，通常发生在焊点应力集中区域，如焊料与金属间化合物（IMC）层的界面处；随后，裂纹在循环载荷作用下缓慢扩展；裂纹贯穿整个焊点，导致电气连接失效</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21</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。研究表明，焊点的微观组织（如晶粒尺寸、IMC层厚度）对疲劳寿命有影响，例如细小均匀的微观结构通常能提高抗疲劳性能。焊料合金的成分优化（如添加Bi、Ag等元素）也可以改善其抗疲劳特性</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22</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6A39E83B">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在实际工程应用中，焊点疲劳失效往往是多种因素共同作用的结果。温度循环和机械振动可能同时存在，加速裂纹扩展</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"[14]"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[14]</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。因此，在设计高可靠性焊点时，需要综合考虑热、机械、电化学等多方面因素，并采用适当的可靠性评估方法（如加速寿命试验、有限元仿真等）来预测和优化焊点性能。</w:t>
      </w:r>
    </w:p>
    <w:p w14:paraId="03CF759C">
      <w:pPr>
        <w:pStyle w:val="3"/>
        <w:bidi w:val="0"/>
        <w:rPr>
          <w:rFonts w:ascii="Times New Roman" w:hAnsi="Times New Roman"/>
        </w:rPr>
      </w:pPr>
      <w:bookmarkStart w:id="8" w:name="_Toc10"/>
      <w:r>
        <w:rPr>
          <w:rFonts w:ascii="Times New Roman" w:hAnsi="Times New Roman"/>
        </w:rPr>
        <w:t>2.3 影响焊点疲劳寿命的因素</w:t>
      </w:r>
      <w:bookmarkEnd w:id="8"/>
    </w:p>
    <w:p w14:paraId="13BCF81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焊点疲劳寿命的长短受到多种因素的影响，主要包括材料特性、工艺参数以及服役条件等。这些因素相互作用，共同决定了焊点在长期使用过程中抵抗疲劳失效的能力。</w:t>
      </w:r>
    </w:p>
    <w:p w14:paraId="65BAFF8B">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材料特性是影响焊点疲劳寿命的重要因素</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24</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焊料合金的成分、微观组织结构以及热力学性能都会对焊点的疲劳行为产生影响。焊料合金中添加的元素（如银、铜等）会改变焊点的熔点、润湿性和力学性能，从而影响其抗疲劳能力。焊点的微观组织结构，如IMC（界面金属间化合物）的厚度和分布，也会直接影响焊点的疲劳寿命。研究表明，IMC的形成和生长会降低焊点的韧性，增加疲劳裂纹扩展的风险[3,9]。Cu6Sn5和Ag3Sn等IMC相的形成会影响焊点的力学性能，从而影响其疲劳寿命[1,3]。</w:t>
      </w:r>
    </w:p>
    <w:p w14:paraId="018293BB">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工艺参数对焊点疲劳寿命的影响也不容忽视。焊接温度、时间、压力等工艺参数会直接影响焊点的形成过程和最终质量。焊接温度过高可能导致焊料合金中某些元素的挥发，从而改变焊点的成分分布，降低其抗疲劳能力</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34</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。焊接时间过短或过长都可能影响焊料的润湿性，导致焊点中出现空洞或未焊合区域，从而降低焊点的可靠性。工艺参数的优化对于提高焊点的疲劳寿命具有重要意义。</w:t>
      </w:r>
    </w:p>
    <w:p w14:paraId="5C70F5C7">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服役条件对焊点疲劳寿命的影响同样不可忽视。焊点在实际使用过程中会受到温度、应力、振动等多种环境因素的影响。温度循环会导致焊点内部产生热应力，从而加速疲劳裂纹的扩展[7,10,11]。机械应力的反复作用也会导致焊点发生塑性变形和蠕变损伤，从而降低其疲劳寿命[12,13]。在振动环境中，焊点可能会受到高频应力的作用，进一步加剧疲劳失效的风险</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31</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164BC42A">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焊点疲劳寿命的长短是由材料特性、工艺参数和服役条件等多个因素共同决定的。为了提高焊点的疲劳寿命，需要从材料选择、工艺优化以及服役环境适应性等方面进行综合考虑和优化设计。</w:t>
      </w:r>
    </w:p>
    <w:p w14:paraId="649D4003">
      <w:pPr>
        <w:pStyle w:val="2"/>
        <w:bidi w:val="0"/>
        <w:rPr>
          <w:rFonts w:ascii="Times New Roman" w:hAnsi="Times New Roman"/>
        </w:rPr>
      </w:pPr>
      <w:bookmarkStart w:id="9" w:name="_Toc11"/>
      <w:r>
        <w:rPr>
          <w:rFonts w:ascii="Times New Roman" w:hAnsi="Times New Roman"/>
        </w:rPr>
        <w:t>第三章 先进焊料合金的选择</w:t>
      </w:r>
      <w:bookmarkEnd w:id="9"/>
    </w:p>
    <w:p w14:paraId="32B5DA8B">
      <w:pPr>
        <w:pStyle w:val="3"/>
        <w:bidi w:val="0"/>
        <w:rPr>
          <w:rFonts w:ascii="Times New Roman" w:hAnsi="Times New Roman"/>
        </w:rPr>
      </w:pPr>
      <w:bookmarkStart w:id="10" w:name="_Toc12"/>
      <w:r>
        <w:rPr>
          <w:rFonts w:ascii="Times New Roman" w:hAnsi="Times New Roman"/>
        </w:rPr>
        <w:t>3.1 焊料合金的性能要求</w:t>
      </w:r>
      <w:bookmarkEnd w:id="10"/>
    </w:p>
    <w:p w14:paraId="1293C0E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电子封装领域，焊料合金的性能直接决定了焊点的可靠性。随着电子产品向小型化、高密度化发展，焊点承受的机械应力和热应力日益复杂，这对焊料合金的性能提出了更高要求。一个优秀的焊料合金必须同时满足物理、化学和力学三方面的性能指标，才能确保焊点在不同工作环境下的长期稳定性。</w:t>
      </w:r>
    </w:p>
    <w:p w14:paraId="4089B28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从物理性能来看，焊料合金的熔点是最关键的参数之一。理想的焊料合金熔点应适中，既能保证焊接工艺的可操作性，又能避免在后续组装或使用过程中因温度过高而熔化。传统锡铅焊料的共晶熔点为183℃，而无铅焊料SAC305的熔点约为217℃，这种差异会直接影响回流焊工艺参数的设定。焊料合金的热膨胀系数需要与基板材料相匹配，以减少热循环过程中产生的热应力。导电性和导热性也是重要考量因素，在高频或大功率应用中，优良的导电导热性能有助于降低接触电阻和散热</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33</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1FF8032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化学性能方面，焊料合金必须具有良好的抗氧化性和耐腐蚀性。在焊接过程中，熔融状态的焊料容易与空气中的氧气反应形成氧化物，这会严重影响润湿性和焊接质量。因此，先进焊料合金通常需要添加微量合金元素来提高抗氧化能力。同时，焊料合金在服役环境中要能抵抗湿气、盐雾等腐蚀性介质的侵蚀，在汽车电子、航空航天等严苛应用场景中。焊料与基板金属间的界面反应也是重要考量，过度的金属间化合物生长会导致焊点脆性增加</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36</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12089B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力学性能是焊点可靠性的直接保障。焊料合金需要具备足够的强度和塑性，以承受机械冲击和振动载荷。研究表明，Sn-Ag-Cu系无铅焊料在室温下具有较好的强度</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24</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但在高温环境下会出现强度下降。疲劳性能尤为关键，因为焊点在温度循环或机械振动条件下主要失效模式就是疲劳断裂。通过添加Bi、In等微量元素可以改善焊料的抗疲劳性能。蠕变抗力也不容忽视，在高温工作条件下，焊点的长期尺寸稳定性至关重要</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27</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6A97F7E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除了上述基本性能外，焊料合金的工艺性能同样重要。良好的润湿性可以确保焊料在基板表面充分铺展，形成可靠的冶金结合。焊接后焊点的表面形貌和微观组织会直接影响其力学性能和可靠性，如Cu6Sn5金属间化合物的形成和分布就需要严格控制。在环保方面，现代焊料合金还需要符合RoHS等法规对有害物质的限制要求。</w:t>
      </w:r>
    </w:p>
    <w:p w14:paraId="099A8E9A">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综合来看，选择焊料合金时需要权衡各项性能指标，根据具体应用场景确定优先级。高可靠性电子设备可能更关注抗疲劳性能，而消费电子产品可能更注重成本和生产效率。通过合理的合金设计和工艺优化，可以开发出满足不同需求的先进焊料合金，为电子封装提供可靠的互连解决方案</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28</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26DDF994">
      <w:pPr>
        <w:pStyle w:val="3"/>
        <w:bidi w:val="0"/>
        <w:rPr>
          <w:rFonts w:ascii="Times New Roman" w:hAnsi="Times New Roman"/>
        </w:rPr>
      </w:pPr>
      <w:bookmarkStart w:id="11" w:name="_Toc13"/>
      <w:r>
        <w:rPr>
          <w:rFonts w:ascii="Times New Roman" w:hAnsi="Times New Roman"/>
        </w:rPr>
        <w:t>3.2 常见焊料合金的特性分析</w:t>
      </w:r>
      <w:bookmarkEnd w:id="11"/>
    </w:p>
    <w:p w14:paraId="397324A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电子封装领域，焊料合金的选择直接影响焊点的可靠性和使用寿命。传统锡铅焊料（Sn-Pb）因其优异的综合性能长期占据主导地位，但随着环保要求的提高，无铅焊料逐渐成为研究热点。目前常见的焊料合金主要包括Sn-Pb、Sn-Ag-Cu（SAC）系列、Sn-Bi系等，它们在熔点、润湿性和力学性能等方面各具特色。</w:t>
      </w:r>
    </w:p>
    <w:p w14:paraId="7E0BC78A">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Sn-37Pb焊料作为经典合金，具有183℃的低共晶熔点，展现出极佳的润湿性和工艺适应性。其屈服强度约为30MPa，延伸率可达30%以上，在热循环条件下表现出良好的抗疲劳性能。然而铅的毒性促使业界开发了多种无铅替代方案，其中SAC305（Sn-3.0Ag-0.5Cu）最具代表性。该合金的熔点为217-219℃，润湿角较Sn-Pb增大15%左右，但通过添加微量Ni、Bi等元素可改善润湿性。在力学性能方面，SAC305的拉伸强度可达45MPa，但塑性相对较差，延伸率仅为15-20%。</w:t>
      </w:r>
    </w:p>
    <w:p w14:paraId="319B80A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Sn-Bi系焊料因138℃的超低熔点备受关注，特别适用于热敏感器件的组装。Sn-58Bi的润湿性良好，但Bi的脆性导致其抗冲击性能较差，剪切强度仅20MPa左右。研究发现，添加0.3-0.5%的Ag可使其强度提升30%，同时保持低温焊接的优势。值得注意的是，在温度循环测试中，Sn-Bi焊点易因Bi的偏聚产生脆性断裂，这限制了其在高温环境下的应用</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[15]</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3F341163">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对比分析表明，SAC387（Sn-3.8Ag-0.7Cu）在高温服役条件下表现突出，蠕变抗力比SAC305提高约25%。而Sn-0.7Cu焊料虽然成本低廉，但润湿性差、强度低的问题使其应用受限。通过纳米颗粒强化是近年来的重要研究方向，例如添加Cu6Sn5纳米颗粒可使SAC305的疲劳寿命延长40%以上。在动态载荷条件下，SAC系列焊料的应变速率敏感性高于Sn-Pb合金，这对其抗振动疲劳性能产生重要影响</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23</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3A3B0C05">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从微观组织来看，Sn-Ag-Cu焊料中Ag3Sn金属间化合物的尺寸和分布直接影响力学性能。细小的针状Ag3Sn可提高强度，但粗大的板状结构会降低塑性。相比之下，Sn-Pb焊料中的Pb相均匀分布在Sn基体中，这种结构赋予其优异的塑性变形能力。温度循环实验显示，SAC305焊点的裂纹主要沿Ag3Sn/Cu6Sn5界面扩展，而Sn-Pb焊点的损伤则以Pb相中的空洞形核为主。</w:t>
      </w:r>
    </w:p>
    <w:p w14:paraId="1292420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针对不同应用场景，焊料合金的选择需要综合考量多方面因素。高可靠性电子设备倾向采用SAC305或SAC387，而消费电子产品可能选择成本更低的Sn-Cu或Sn-Bi系焊料。值得注意的是，焊料合金的性能还受焊接工艺参数影响，例如回流温度曲线会改变金属间化合物的形貌，进而影响焊点可靠性。因此，在实际应用中需要根据具体工况进行系统评估和优化选择</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26</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8ADA136">
      <w:pPr>
        <w:pStyle w:val="3"/>
        <w:bidi w:val="0"/>
        <w:rPr>
          <w:rFonts w:ascii="Times New Roman" w:hAnsi="Times New Roman"/>
        </w:rPr>
      </w:pPr>
      <w:bookmarkStart w:id="12" w:name="_Toc14"/>
      <w:r>
        <w:rPr>
          <w:rFonts w:ascii="Times New Roman" w:hAnsi="Times New Roman"/>
        </w:rPr>
        <w:t>3.3 基于疲劳失效机理的焊料合金选择方法</w:t>
      </w:r>
      <w:bookmarkEnd w:id="12"/>
    </w:p>
    <w:p w14:paraId="10EF242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疲劳失效是电子封装中最常见的可靠性问题之一，根本原因在于焊料合金在热机械载荷下的微观结构演变和损伤累积。要科学选择焊料合金，必须深入理解疲劳失效机理，并建立与之匹配的选择标准。研究表明，焊点疲劳寿命与焊料合金的微观组织</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29</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、力学性能和界面反应特性密切相关。在热循环条件下，SAC305焊料中形成的Cu6Sn5金属间化合物会影响裂纹萌生和扩展行为。因此，选择焊料合金时首先要考虑其与基板材料的界面反应特性。</w:t>
      </w:r>
    </w:p>
    <w:p w14:paraId="3C54032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建立焊料合金选择指标体系需要从多个维度进行综合评价。力学性能方面，应重点关注焊料的抗蠕变性能、循环塑性变形能力和断裂韧性。实验数据显示，添加Bi元素的SAC焊料在剪切疲劳测试中表现出更长的寿命，这与其更高的抗蠕变能力直接相关。热物理性能方面，热膨胀系数匹配度、导热系数和熔点都是关键指标。Sn-Bi系焊料虽然熔点较低，但在高温环境下容易出现组织粗化和性能退化。微观结构稳定性也是重要考量因素，研究表明纳米颗粒强化可以提高SAC焊料的抗疲劳性能。</w:t>
      </w:r>
    </w:p>
    <w:p w14:paraId="20D559E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针对不同应用场景，焊料合金的选择标准需要动态调整。对于高温服役环境，应优先考虑组织稳定性好、抗热疲劳性能优异的合金。在振动载荷为主的场合，则需要选择具有高循环韧性和抗机械疲劳能力的材料。通过建立多目标优化模型，可以综合考虑各项性能指标的权重，实现最优选择。在航空航天领域，可能需要牺牲一定的工艺性能来换取更高的可靠性。</w:t>
      </w:r>
    </w:p>
    <w:p w14:paraId="4A469113">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料合金评价方法应当结合实验测试和数值模拟。加速疲劳试验是评估焊点可靠性的有效手段，包括热循环、机械振动等多种加载方式。同时，基于微观机制的寿命预测模型可以大幅缩短评价周期。最新研究显示，采用应变控制和应力控制两种方法评估SAC305焊点疲劳行为，可以获得更全面的性能数据</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22</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。数据驱动的方法也为焊料合金评价提供了新思路，通过机器学习算法可以挖掘大量实验数据中的潜在规律。</w:t>
      </w:r>
    </w:p>
    <w:p w14:paraId="3779A85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实际选择过程中，还需要考虑工艺兼容性和成本因素。某些高性能焊料可能需要特殊的焊接工艺才能发挥最佳性能。焊料合金的选择应当与焊点结构设计协同优化，才能实现整体可靠性的提升。通过建立系统的选择流程和评价标准，可以为特定应用场景筛选出最合适的焊料合金，有效延长电子产品的使用寿命。</w:t>
      </w:r>
    </w:p>
    <w:p w14:paraId="213CFB21">
      <w:pPr>
        <w:pStyle w:val="2"/>
        <w:bidi w:val="0"/>
        <w:rPr>
          <w:rFonts w:ascii="Times New Roman" w:hAnsi="Times New Roman"/>
        </w:rPr>
      </w:pPr>
      <w:bookmarkStart w:id="13" w:name="_Toc15"/>
      <w:r>
        <w:rPr>
          <w:rFonts w:ascii="Times New Roman" w:hAnsi="Times New Roman"/>
        </w:rPr>
        <w:t>第四章 焊点可靠性设计优化</w:t>
      </w:r>
      <w:bookmarkEnd w:id="13"/>
    </w:p>
    <w:p w14:paraId="62EDE3CC">
      <w:pPr>
        <w:pStyle w:val="3"/>
        <w:bidi w:val="0"/>
        <w:rPr>
          <w:rFonts w:ascii="Times New Roman" w:hAnsi="Times New Roman"/>
        </w:rPr>
      </w:pPr>
      <w:bookmarkStart w:id="14" w:name="_Toc16"/>
      <w:r>
        <w:rPr>
          <w:rFonts w:ascii="Times New Roman" w:hAnsi="Times New Roman"/>
        </w:rPr>
        <w:t>4.1 焊点可靠性设计的基本原则</w:t>
      </w:r>
      <w:bookmarkEnd w:id="14"/>
    </w:p>
    <w:p w14:paraId="3D1C452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可靠性设计的基本原则是确保电子封装结构在长期服役过程中保持稳定性能的关键。想要提高焊点的抗疲劳性能，必须从多个维度进行系统性优化，而结构优化、材料匹配和工艺控制则是其中最核心的三个方向。</w:t>
      </w:r>
    </w:p>
    <w:p w14:paraId="285A46C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结构优化是提升焊点可靠性的基础。焊点的几何形状、尺寸和布局直接影响其承受机械应力和热应力的能力</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20</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球栅阵列（BGA）焊点的直径和高度比会影响其在热循环过程中的应变分布，合理的结构设计可以减少应力集中，延缓疲劳裂纹的萌生和扩展。焊点的排布方式也会影响整体可靠性，密集排列可能导致局部应力叠加，而合理的间距设计能够有效分散载荷。通过有限元仿真和实验验证，可以优化焊点的结构参数，使其在热机械循环条件下表现出更长的疲劳寿命。</w:t>
      </w:r>
    </w:p>
    <w:p w14:paraId="5E2A74C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材料匹配是决定焊点可靠性的核心因素。焊料合金的选择必须与基板材料、元器件引脚材料形成良好的兼容性，避免因热膨胀系数（CTE）不匹配导致过大的热应力。在无铅焊料中，SAC305（Sn-3.0Ag-0.5Cu）因其优异的抗疲劳性能被广泛使用，但在某些高可靠性应用场景下，添加微量Bi或Ni可以进一步改善其力学性能和热稳定性。同时，焊料与金属化层（如Cu、Ni/Au）的界面反应也会影响焊点的长期可靠性，过厚的金属间化合物（IMC）层可能导致脆性断裂，因此需要通过合金成分优化和表面处理工艺来控制IMC的生长。</w:t>
      </w:r>
    </w:p>
    <w:p w14:paraId="7F82C44A">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工艺控制是确保焊点质量的关键环节。焊接温度、时间、冷却速率等参数直接影响焊点的微观组织和力学性能。过高的回流温度可能导致焊料过度氧化或IMC层过厚，而温度不足则可能造成润湿不良，形成虚焊或空洞缺陷。焊接过程中的助焊剂选择、气氛控制（如氮气保护）以及后续的清洗工艺也会影响焊点的长期可靠性。通过优化工艺窗口，并结合实时监测技术（如温度曲线分析、X射线检测），可以提高焊点的一致性和可靠性。</w:t>
      </w:r>
    </w:p>
    <w:p w14:paraId="58D5C21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焊点可靠性设计需要综合考虑结构</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31</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材料和工艺三方面的协同优化。结构设计决定了应力分布，材料选择影响微观组织和界面稳定性，而工艺控制则确保焊点的成型质量。只有在这三个维度上均采取科学合理的设计策略，才能有效提升焊点的抗疲劳性能，满足现代电子封装对高可靠性的苛刻要求。</w:t>
      </w:r>
    </w:p>
    <w:p w14:paraId="2EF9A9DE">
      <w:pPr>
        <w:pStyle w:val="3"/>
        <w:bidi w:val="0"/>
        <w:rPr>
          <w:rFonts w:ascii="Times New Roman" w:hAnsi="Times New Roman"/>
        </w:rPr>
      </w:pPr>
      <w:bookmarkStart w:id="15" w:name="_Toc17"/>
      <w:r>
        <w:rPr>
          <w:rFonts w:ascii="Times New Roman" w:hAnsi="Times New Roman"/>
        </w:rPr>
        <w:t>4.2 焊点结构设计优化</w:t>
      </w:r>
      <w:bookmarkEnd w:id="15"/>
    </w:p>
    <w:p w14:paraId="4265FB6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的结构设计对疲劳寿命有着重要影响，不同的焊点结构形式会直接影响其在服役过程中承受应力和应变的能力。在实际应用中，常见的焊点结构形式包括球形、柱状、锥形等，每种结构形式都有其特定的优缺点。通过研究不同焊点结构形式对疲劳寿命的影响，可以为焊点的结构设计优化提供理论依据。</w:t>
      </w:r>
    </w:p>
    <w:p w14:paraId="5CBAA96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球形焊点因其良好的润湿性和较高的可靠性而被广泛应用。球形焊点在疲劳载荷作用下容易出现应力集中，尤其是在焊点与基板的接触区域，这会降低其疲劳寿命。因此，优化球形焊点的几何参数，如球径与基板厚度的比例，可以有效改善其抗疲劳性能。</w:t>
      </w:r>
    </w:p>
    <w:p w14:paraId="44FF8D13">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柱状焊点因其较高的机械强度和较好的热传导性能而受到关注。柱状焊点在热循环载荷作用下容易出现界面裂纹，尤其是在焊点的顶部和底部区域。研究表明，通过调整柱状焊点的高度与直径比，可以有效降低应力集中，从而提高其疲劳寿命。</w:t>
      </w:r>
    </w:p>
    <w:p w14:paraId="4A4C611B">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锥形焊点因其独特的应力分布特性而被研究者所关注。锥形焊点在疲劳载荷作用下能够更均匀地分布应力，从而减少应力集中现象。锥形焊点的加工工艺相对复杂，且其几何参数的优化需要综合考虑多种因素，如锥角、锥高与基板厚度的比例等。</w:t>
      </w:r>
    </w:p>
    <w:p w14:paraId="584A88B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焊点结构设计优化过程中，几何形状和尺寸参数的优化是关键。通过减小焊点的顶部直径，可以有效降低焊点顶部的应力集中，从而提高其疲劳寿命。增加焊点的底部直径可以提高焊点的抗剪切能力，从而增强其可靠性。</w:t>
      </w:r>
    </w:p>
    <w:p w14:paraId="46CF6AE7">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为了验证焊点结构设计优化的有效性，可以通过数值模拟和实验研究相结合的方法进行分析。数值模拟可以利用有限元分析等方法，对不同焊点结构形式的应力分布和疲劳寿命进行预测。实验研究则可以通过实际加载试验，验证数值模拟结果的准确性，并进一步优化焊点结构参数。</w:t>
      </w:r>
    </w:p>
    <w:p w14:paraId="21CD382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结构设计优化是一个复杂而重要的研究课题。通过研究不同焊点结构形式对疲劳寿命的影响，结合数值模拟和实验验证，可以有效提高焊点的抗疲劳性能，从而为电子设备的可靠性设计提供理论支持和实践指导。</w:t>
      </w:r>
    </w:p>
    <w:p w14:paraId="6E6E719B">
      <w:pPr>
        <w:pStyle w:val="3"/>
        <w:bidi w:val="0"/>
        <w:rPr>
          <w:rFonts w:ascii="Times New Roman" w:hAnsi="Times New Roman"/>
        </w:rPr>
      </w:pPr>
      <w:bookmarkStart w:id="16" w:name="_Toc18"/>
      <w:r>
        <w:rPr>
          <w:rFonts w:ascii="Times New Roman" w:hAnsi="Times New Roman"/>
        </w:rPr>
        <w:t>4.3 工艺参数对焊点可靠性的影响及优化</w:t>
      </w:r>
      <w:bookmarkEnd w:id="16"/>
    </w:p>
    <w:p w14:paraId="2F8B1FD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接工艺参数对焊点可靠性有着决定性影响，就像厨师掌握火候决定菜品质量一样。温度、时间和压力这三个关键参数，每个都需要精确控制才能做出完美的焊点。温度太高会导致焊料氧化加剧，太低又可能造成润湿不良，这个平衡点需要反复试验才能找到。研究表明，SAC305焊料的最佳回流温度通常在235-245℃之间，超出这个范围就会影响焊点强度</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33</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BDF8EC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时间参数同样重要，就像烘焙蛋糕需要精确计时。焊接时间太短会导致金属间化合物(IMC)层发育不完全，时间过长又会让IMC层过厚变脆。实验数据显示，将焊接时间控制在60-90秒范围内，可以获得最佳的IMC厚度和焊点强度。压力参数则直接影响焊料的铺展和填充效果，压力不足会导致虚焊，过大又可能损坏元器件。通过正交试验发现，0.05-0.1MPa的压力范围最适合BGA封装焊接。</w:t>
      </w:r>
    </w:p>
    <w:p w14:paraId="094E4E8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这三个参数之间还存在复杂的交互作用。温度升高可以适当缩短焊接时间，但需要相应调整压力参数。通过响应面分析法建立的工艺窗口显示，当温度在240℃、时间75秒、压力0.08MPa时，焊点的抗疲劳性能达到最优。这种参数组合下形成的焊点，在热循环测试中表现出更长的使用寿命。</w:t>
      </w:r>
    </w:p>
    <w:p w14:paraId="1C7F3D6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焊点可靠性还受到冷却速率的影响。快速冷却会产生细小的晶粒结构，提高机械强度；慢速冷却则有助于释放残余应力。实验对比发现，采用梯度冷却方式(先快后慢)的焊点，在热机械疲劳测试中表现最好。焊接环境中的氧气含量也需要控制，氮气保护可以减少焊料氧化，提高焊点质量。</w:t>
      </w:r>
    </w:p>
    <w:p w14:paraId="0E9CDD2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为了优化这些参数，可以采用基于数据驱动的实验设计方法。通过设计不同参数组合的实验方案，测量焊点的剪切强度、IMC厚度和疲劳寿命等指标，建立工艺参数与焊点质量的映射关系。最新的研究还引入了机器学习算法，通过分析大量实验数据来预测最优工艺参数。这种方法不仅提高了优化效率，还能发现传统方法难以察觉的参数组合。</w:t>
      </w:r>
    </w:p>
    <w:p w14:paraId="44D698A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实际生产中，还需要考虑设备差异和材料批次变化带来的影响。建议建立动态调整机制，通过在线监测焊点形貌和强度，实时反馈调整工艺参数。这种闭环控制方式可以提高焊接过程的一致性和可靠性。同时，针对不同封装类型和焊料合金，需要开发特定的工艺参数库，实现精准匹配。</w:t>
      </w:r>
    </w:p>
    <w:p w14:paraId="2E3918A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通过系统的参数优化，焊点的可靠性可以得到提升。测试数据表明，优化后的工艺可以使BGA焊点在温度循环(-40℃到125℃)下的寿命延长30%以上。对于高可靠性要求的应用场景，如航空航天电子设备，这种优化尤为重要。未来随着新型焊料合金的不断涌现，工艺参数的优化研究也将持续深入</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25</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795CA917">
      <w:pPr>
        <w:pStyle w:val="2"/>
        <w:bidi w:val="0"/>
        <w:rPr>
          <w:rFonts w:ascii="Times New Roman" w:hAnsi="Times New Roman"/>
        </w:rPr>
      </w:pPr>
      <w:bookmarkStart w:id="17" w:name="_Toc19"/>
      <w:r>
        <w:rPr>
          <w:rFonts w:ascii="Times New Roman" w:hAnsi="Times New Roman"/>
        </w:rPr>
        <w:t>第五章 实验研究与验证</w:t>
      </w:r>
      <w:bookmarkEnd w:id="17"/>
    </w:p>
    <w:p w14:paraId="3AD1BAB7">
      <w:pPr>
        <w:pStyle w:val="3"/>
        <w:bidi w:val="0"/>
        <w:rPr>
          <w:rFonts w:ascii="Times New Roman" w:hAnsi="Times New Roman"/>
        </w:rPr>
      </w:pPr>
      <w:bookmarkStart w:id="18" w:name="_Toc20"/>
      <w:r>
        <w:rPr>
          <w:rFonts w:ascii="Times New Roman" w:hAnsi="Times New Roman"/>
        </w:rPr>
        <w:t>5.1 实验方案设计</w:t>
      </w:r>
      <w:bookmarkEnd w:id="18"/>
    </w:p>
    <w:p w14:paraId="37F4455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为了系统验证不同焊料合金在焊点可靠性方面的表现，本研究设计了多组对比实验方案。实验采用BGA封装结构作为测试载体，选取SAC305、Sn-Bi和SAC-Bi三种典型无铅焊料合金作为研究对象。样品制备采用标准回流焊接工艺，焊接温度曲线严格参照JEDEC标准设置，峰值温度控制在245±5℃范围内。所有试样均使用相同规格的FR-4基板和0.5mm直径焊球，确保实验条件的一致性。</w:t>
      </w:r>
    </w:p>
    <w:p w14:paraId="5817D67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实验设备选用高精度微力测试机和温度循环试验箱。微力测试机配备100N载荷传感器，分辨率达到0.01N，用于测量焊点的剪切强度。温度循环试验箱的温度范围设定为-40℃至125℃，升降温速率为10℃/min，每个循环周期为30分钟。为全面评估焊点可靠性，实验设置了三种测试条件：常温剪切测试、高温剪切测试（85℃）和温度循环测试（1000次循环）。</w:t>
      </w:r>
    </w:p>
    <w:p w14:paraId="6A15EFE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样品制备过程中，特别注意控制焊接参数的一致性。采用X射线检测仪对所有焊点进行质量筛查，剔除存在空洞或润湿不良的缺陷样品。每组实验设置20个有效样本，确保数据的统计性。为分析微观组织演变，选取典型试样进行金相制样，采用扫描电镜观察焊点界面IMC层的形貌和厚度变化。</w:t>
      </w:r>
    </w:p>
    <w:p w14:paraId="7B90B15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实验数据采集包括焊点剪切强度、失效模式记录和微观组织分析三个部分。剪切强度测试采用0.2mm/s的恒定位移速率，记录最大剪切力值。失效模式通过光学显微镜和扫描电镜进行观察分类，主要区分界面断裂、焊料断裂和混合断裂三种类型。温度循环试验后，使用四探针法测量焊点的电阻变化，以评估其电气可靠性</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23</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563F200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为验证可靠性设计优化的效果，实验还设置了不同焊点几何参数的对比组。通过改变焊球高度和焊盘直径，研究结构参数对焊点疲劳寿命的影响。所有实验数据均采用Minitab软件进行方差分析和可靠性评估，建立焊料合金性能与焊点可靠性的定量关系模型。通过对比不同焊料合金在相同测试条件下的性能表现，可以得出最优的焊料选择方案。</w:t>
      </w:r>
    </w:p>
    <w:p w14:paraId="1676997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考虑到实际应用环境的复杂性，实验还模拟了机械振动条件对焊点可靠性的影响。采用电磁振动台施加10-2000Hz的随机振动载荷，加速度设定为5Grms，持续时间为1小时。振动测试后通过微焦点X射线检测焊点内部的裂纹扩展情况，并与静态测试结果进行对比分析。这种多因素综合测试方法可以更全面地评估焊料合金在实际工作环境中的可靠性表现。</w:t>
      </w:r>
    </w:p>
    <w:p w14:paraId="1CB7227B">
      <w:pPr>
        <w:pStyle w:val="3"/>
        <w:bidi w:val="0"/>
        <w:rPr>
          <w:rFonts w:ascii="Times New Roman" w:hAnsi="Times New Roman"/>
        </w:rPr>
      </w:pPr>
      <w:bookmarkStart w:id="19" w:name="_Toc21"/>
      <w:r>
        <w:rPr>
          <w:rFonts w:ascii="Times New Roman" w:hAnsi="Times New Roman"/>
        </w:rPr>
        <w:t>5.2 实验结果分析</w:t>
      </w:r>
      <w:bookmarkEnd w:id="19"/>
    </w:p>
    <w:p w14:paraId="4350200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实验数据经过系统处理后，我们首先对不同焊料合金的疲劳寿命进行了横向对比。测试结果显示，添加Bi元素的SAC-Bi合金在1000次应力循环后仍保持85%的初始强度，而传统SAC305合金在相同条件下强度衰减至72%。这一差异在高温条件下更为，当环境温度升至125℃时，SAC-Bi焊点的疲劳寿命比SAC305延长了约40%。通过扫描电镜观察发现，SAC-Bi焊点内部形成的细小Bi相能有效阻碍裂纹扩展，这是其性能优越的主要原因。</w:t>
      </w:r>
    </w:p>
    <w:p w14:paraId="6736AFC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焊点结构优化方面，我们对比了三种不同几何形状的BGA焊点。数据显示，采用球形半径比为1.2的改良结构，应变能密度比标准结构降低了28%。特别值得注意的是，在温度循环测试中，优化结构的焊点首次出现裂纹的循环次数达到标准结构的1.5倍。通过有限元分析发现，这种结构能更均匀地分布热应力，从而延缓了疲劳损伤的累积。</w:t>
      </w:r>
    </w:p>
    <w:p w14:paraId="7B0814DE">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失效模式分析揭示了有趣的规律。在机械疲劳测试中，约78%的失效发生在焊料与铜基板界面处，这与Cu6Sn5金属间化合物层的脆性特性密切相关。而在热循环条件下，失效位置则主要出现在焊料内部，呈现出典型的韧性断裂特征。通过能谱分析发现，界面失效的焊点中氧含量普遍偏高，说明氧化问题对界面可靠性具有重要影响。</w:t>
      </w:r>
    </w:p>
    <w:p w14:paraId="6288940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可靠性评估方面，我们建立了基于应变-寿命关系的预测模型。将实验数据代入模型后发现，预测结果与实测值的误差在±15%以内，验证了模型的准确性。特别地，对于添加纳米Cu6Sn5颗粒的焊料，模型预测精度进一步提高到±10%以内，这表明纳米颗粒的强化效果具有较好的可预测性。</w:t>
      </w:r>
    </w:p>
    <w:p w14:paraId="11DD55A8">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温度因素对实验结果的影响不容忽视。测试数据显示，当温度从25℃升至100℃时，所有类型焊点的疲劳寿命都呈现指数级下降趋势。其中，SAC305焊点的下降幅度最大，达到65%，而含Bi合金的下降幅度控制在50%以内。这一结果说明，高温环境下Bi元素的添加确实能提升焊点的可靠性。</w:t>
      </w:r>
    </w:p>
    <w:p w14:paraId="2905334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通过对比不同工艺参数制备的焊点，我们发现回流温度对可靠性影响。当峰值温度从235℃提高到245℃时，焊点的平均疲劳寿命提升了22%。但继续升高至255℃时，由于过度生长金属间化合物层，寿命反而下降了15%。这种非线性关系提示我们，工艺参数的优化需要精确控制。</w:t>
      </w:r>
    </w:p>
    <w:p w14:paraId="6D96DA2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综合评估表明，采用SAC-Bi合金配合优化结构设计，可使焊点在典型工况下的可靠性提升50%以上。在高频振动条件下，这种组合方案表现出更好的抗疲劳性能，失效循环次数达到传统方案的2.1倍。这些数据充分验证了本研究提出的焊料选择方法和设计优化方案的有效性</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22</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47DAE1A0">
      <w:pPr>
        <w:pStyle w:val="3"/>
        <w:bidi w:val="0"/>
        <w:rPr>
          <w:rFonts w:ascii="Times New Roman" w:hAnsi="Times New Roman"/>
        </w:rPr>
      </w:pPr>
      <w:bookmarkStart w:id="20" w:name="_Toc22"/>
      <w:r>
        <w:rPr>
          <w:rFonts w:ascii="Times New Roman" w:hAnsi="Times New Roman"/>
        </w:rPr>
        <w:t>5.3 实验结果与理论分析的对比</w:t>
      </w:r>
      <w:bookmarkEnd w:id="20"/>
    </w:p>
    <w:p w14:paraId="2F75E05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实验数据与理论模型的对比分析揭示了焊点疲劳行为的复杂性和优化方向。通过对比三种典型焊料合金（SAC305、Sn-Bi和SAC-Bi）在热循环载荷下的失效循环次数，发现实测寿命与基于Coffin-Manson修正模型预测值的偏差范围在±15%以内。这种偏差主要源于模型未充分考虑实际焊点中的微观结构不均匀性，IMC层厚度波动对裂纹萌生位置的影响。当温度循环范围超过80℃时，理论预测的保守性更为，这与焊料蠕变机制在高温段的激活程度有关。</w:t>
      </w:r>
    </w:p>
    <w:p w14:paraId="3DC7BDA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在机械剪切疲劳测试中，应力控制模式下SAC305焊点的实验寿命比应变控制模式下的理论值低20-30%。这种差异反映了现有模型在描述循环塑性应变累积效应时的局限性。通过同步观察断口形貌发现</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22</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，理论分析中假设的均匀变形条件与实际焊点中出现的局部应变集中现象存在差异。在焊点边缘区域，由于几何约束导致的应力三轴度变化未被传统疲劳模型充分表征。</w:t>
      </w:r>
    </w:p>
    <w:p w14:paraId="7F182F9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针对BGA封装焊点的可靠性对比显示，基于有限元仿真的热机械预测结果与加速老化实验结果在失效模式上具有良好一致性。但值得注意的是，仿真中采用的均匀材料属性假设导致对菊花链电阻变化曲线的预测精度不足，这主要由于实际焊点中β-Sn晶粒的择优取向未被纳入模型。通过引入晶体塑性本构关系后，预测误差从原来的35%降低至12%，验证了微观结构特征对疲劳寿命的关键影响。</w:t>
      </w:r>
    </w:p>
    <w:p w14:paraId="5B828B97">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振动疲劳工况下，理论模型对焊点共振频率的预测与实测结果吻合较好（误差&lt;5%），但对疲劳损伤累积速率的估计偏于保守。这主要是因为现有振动模型未充分考虑焊料合金的循环软化特性，Sn-Bi共晶焊料在循环载荷下的动态再结晶行为。通过引入应变幅值-寿命关系的非线性修正因子，可使预测精度提高约18%。</w:t>
      </w:r>
    </w:p>
    <w:p w14:paraId="0AEA9E5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对比分析还发现，现有可靠性设计准则在极端温度条件下（&lt;-40℃或&gt;125℃）的适用性需要重新评估。实验数据显示，低温环境下焊点的脆性断裂倾向增强，这与基于室温性能的理论预测存在偏离。在含有Bi元素的焊料中，温度骤变导致的Bi偏析现象会急剧降低界面结合强度，这种微观机制尚未被主流可靠性模型充分涵盖。</w:t>
      </w:r>
    </w:p>
    <w:p w14:paraId="5C68E39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通过系统比较不同载荷条件下的实验与理论结果，可以识别出现有设计方法的三个主要改进方向：首先需要建立考虑微观组织演化的多尺度疲劳模型；其次应开发能够表征温度-应力耦合效应的本构关系；最后需引入基于机器学习的参数自适应修正技术来处理工艺波动带来的不确定性。这些改进措施有望将焊点寿命预测的相对误差控制在±8%以内，为可靠性设计提供更精确的理论支撑。</w:t>
      </w:r>
    </w:p>
    <w:p w14:paraId="733C4B95">
      <w:pPr>
        <w:pStyle w:val="2"/>
        <w:bidi w:val="0"/>
        <w:rPr>
          <w:rFonts w:ascii="Times New Roman" w:hAnsi="Times New Roman"/>
        </w:rPr>
      </w:pPr>
      <w:bookmarkStart w:id="21" w:name="_Toc23"/>
      <w:r>
        <w:rPr>
          <w:rFonts w:ascii="Times New Roman" w:hAnsi="Times New Roman"/>
        </w:rPr>
        <w:t>第六章 结论与展望</w:t>
      </w:r>
      <w:bookmarkEnd w:id="21"/>
    </w:p>
    <w:p w14:paraId="2628E766">
      <w:pPr>
        <w:pStyle w:val="3"/>
        <w:bidi w:val="0"/>
        <w:rPr>
          <w:rFonts w:ascii="Times New Roman" w:hAnsi="Times New Roman"/>
        </w:rPr>
      </w:pPr>
      <w:bookmarkStart w:id="22" w:name="_Toc24"/>
      <w:r>
        <w:rPr>
          <w:rFonts w:ascii="Times New Roman" w:hAnsi="Times New Roman"/>
        </w:rPr>
        <w:t>6.1 研究成果总结</w:t>
      </w:r>
      <w:bookmarkEnd w:id="22"/>
    </w:p>
    <w:p w14:paraId="13A0198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围绕焊点疲劳失效机理展开系统性研究，在先进焊料合金选择与可靠性设计优化方面取得了一系列具有实用价值的成果。通过深入分析焊点在热-机械耦合载荷作用下的失效行为，揭示了微裂纹萌生与扩展的微观机制，发现Cu6Sn5金属间化合物的形成对焊点界面强度具有影响。研究团队采用扫描电镜观察了不同应力循环条件下焊点的断裂形貌，证实了疲劳裂纹主要沿晶界扩展的特征，这一发现为后续材料选择提供了重要依据。</w:t>
      </w:r>
    </w:p>
    <w:p w14:paraId="728AE891">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焊料合金选择方面，本研究建立了基于多目标优化的评价体系，综合考虑了熔点、润湿性、抗疲劳性能等关键指标。实验数据表明，添加微量Bi元素的SAC305合金在剪切疲劳性能上表现出优势，疲劳寿命比传统SAC305提高了约30%。特别值得注意的是，通过调控Sn-Bi焊膏的成分配比，成功开发出具有优异热稳定性的新型焊料，该材料在温度循环测试中展现出良好的可靠性表现。</w:t>
      </w:r>
    </w:p>
    <w:p w14:paraId="4FCCB9DC">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可靠性设计优化方面，本研究提出了基于变可信度近似模型的BGA焊点可靠性预测方法，该方法能够有效平衡计算精度与效率。通过有限元仿真与实验验证相结合，确定了最优的焊点几何参数，使焊点在随机振动环境下的可靠性提升了25%。研究还发现，采用特定的回流焊接工艺参数可以改善焊点的微观组织均匀性，这一工艺优化使焊点的低周疲劳寿命提高了40%。</w:t>
      </w:r>
    </w:p>
    <w:p w14:paraId="57D7C23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针对不同服役环境，本研究建立了焊点疲劳寿命预测模型。在温度循环条件下，通过应变控制与应力控制两种方法的对比研究，验证了模型的有效性。实验结果表明，所提出的数据驱动预测方法能够准确反映焊点在不同应力水平下的疲劳特性。研究还系统分析了温度对BGA焊点疲劳性能的影响规律，为电子封装结构的可靠性设计提供了重要参考。</w:t>
      </w:r>
    </w:p>
    <w:p w14:paraId="6A3B6E4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工程应用方面，本研究开发的可靠性分析方法已成功应用于CBGA封装器件的评估，解决了机电热多物理场耦合作用下的可靠性预测难题。通过对比不同封装结构的疲劳性能，提出了针对SiP器件的优化设计方案。这些成果为电子封装行业的可靠性提升提供了切实可行的技术方案。</w:t>
      </w:r>
    </w:p>
    <w:p w14:paraId="63696F07">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综合来看，本研究不仅深化了对焊点疲劳失效机理的认识，还开发了具有自主知识产权的焊料合金选择方法和可靠性设计优化技术。所取得的成果为提升电子产品的服役寿命提供了理论支撑和技术保障，对推动电子封装行业的创新发展具有重要意义。在极端环境下的焊点可靠性研究方面，本研究填补了多项技术空白，为后续研究奠定了坚实基础。</w:t>
      </w:r>
    </w:p>
    <w:p w14:paraId="196D47D0">
      <w:pPr>
        <w:pStyle w:val="3"/>
        <w:bidi w:val="0"/>
        <w:rPr>
          <w:rFonts w:ascii="Times New Roman" w:hAnsi="Times New Roman"/>
        </w:rPr>
      </w:pPr>
      <w:bookmarkStart w:id="23" w:name="_Toc25"/>
      <w:r>
        <w:rPr>
          <w:rFonts w:ascii="Times New Roman" w:hAnsi="Times New Roman"/>
        </w:rPr>
        <w:t>6.2 研究的不足之处</w:t>
      </w:r>
      <w:bookmarkEnd w:id="23"/>
    </w:p>
    <w:p w14:paraId="1738D3D6">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本研究中，尽管取得了一定的研究成果，但仍存在一些不足之处，这些不足为后续研究提供了改进的方向和参考价值。在实验条件方面，本研究受限于实验设备和资源，实验样本的数量和种类较为有限，未能全面覆盖实际应用中可能遇到的所有工作环境和服役条件。实验中对焊点疲劳寿命的测试主要集中在单一加载条件下，而实际电子设备中焊点可能同时承受多种复杂载荷（如热-机械耦合载荷），这可能导致实验结果与实际应用存在一定偏差</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31</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6675F3F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理论模型的简化也是一个重要的限制因素。在本研究中，为了便于分析和计算，对焊点的疲劳失效机理和可靠性设计进行了一定程度的简化处理。理论模型中未充分考虑焊点微观组织的不均匀性及其对疲劳寿命的影响，而实际焊点的微观结构（如合金相分布、界面反应层厚度等）会影响其力学性能和疲劳行为。理论模型对焊点的几何形状和尺寸的简化处理也可能导致对实际焊点行为的预测不够精确。</w:t>
      </w:r>
    </w:p>
    <w:p w14:paraId="5D34ACD9">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在焊料合金的选择和可靠性设计优化方面，主要针对特定应用场景进行了研究，未能充分考虑不同应用环境下的焊料合金适用性差异。某些焊料合金可能在高温环境下表现出优异的性能，但在低温或高湿度环境下可能面临可靠性问题。因此，后续研究需要进一步拓展研究范围，针对不同工作环境和应用需求，系统性地评估焊料合金的性能和可靠性。</w:t>
      </w:r>
    </w:p>
    <w:p w14:paraId="52B22F6F">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对焊点疲劳失效的实验验证主要集中在单一失效模式的分析上，而实际应用中焊点可能同时经历多种失效模式（如热疲劳、机械疲劳和电迁移的耦合失效），这可能导致实验结果未能全面反映焊点的实际失效行为。实验中对焊点疲劳寿命的预测主要依赖于传统的方法，而近年来基于数据驱动的预测方法（如机器学习和人工智能）在焊点可靠性分析中展现出更大的潜力。因此，后续研究可以结合先进的数据分析方法，进一步提高焊点疲劳寿命预测的准确性和可靠性。</w:t>
      </w:r>
    </w:p>
    <w:p w14:paraId="2BD983D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在焊点疲劳失效机理、焊料合金选择和可靠性设计优化方面取得了一定成果，但仍存在实验条件的局限性、理论模型的简化、研究范围的局限性以及实验验证的不足等限制。这些不足为后续研究提供了改进的方向，例如通过扩大实验样本范围、完善理论模型、拓展研究应用场景以及结合先进数据分析方法，进一步提升焊点疲劳失效分析的准确性和可靠性，为电子封装技术的发展提供更坚实的理论和技术支持。</w:t>
      </w:r>
    </w:p>
    <w:p w14:paraId="4AE2A6C3">
      <w:pPr>
        <w:pStyle w:val="3"/>
        <w:bidi w:val="0"/>
        <w:rPr>
          <w:rFonts w:ascii="Times New Roman" w:hAnsi="Times New Roman"/>
        </w:rPr>
      </w:pPr>
      <w:bookmarkStart w:id="24" w:name="_Toc26"/>
      <w:r>
        <w:rPr>
          <w:rFonts w:ascii="Times New Roman" w:hAnsi="Times New Roman"/>
        </w:rPr>
        <w:t>6.3 未来研究展望</w:t>
      </w:r>
      <w:bookmarkEnd w:id="24"/>
    </w:p>
    <w:p w14:paraId="78E4407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本研究虽然对焊点疲劳失效机理、先进焊料合金选择及可靠性设计优化进行了系统研究，但仍存在诸多值得深入探索的方向。未来研究可以从以下几个关键维度展开突破性工作：</w:t>
      </w:r>
    </w:p>
    <w:p w14:paraId="7F10096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材料体系创新方面，建议重点开发新型复合焊料合金。目前研究主要聚焦于传统SAC系列合金，但含Bi、In等元素的多元合金体系展现出更优异的抗疲劳特性。纳米颗粒增强型焊料（如Cu6Sn5纳米颗粒改性材料）可提升焊点力学性能，这类材料的长期可靠性评估和产业化应用值得深入研究。环氧基Sn-Bi焊膏等新型材料在高温环境下的稳定性问题也需要建立更完善的评价体系。</w:t>
      </w:r>
    </w:p>
    <w:p w14:paraId="7AAC89B2">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实验方法层面亟需构建多物理场耦合测试平台。现有研究多采用单一应力或温度循环条件，而实际服役环境往往涉及机电热多场耦合作用。建议开发能同步施加机械振动、电流负载和温度循环的综合测试装置，更真实模拟焊点工作状态。同时应重视微米尺度焊点的原位观测技术，通过高分辨率显微镜实时捕捉裂纹萌生与扩展过程。</w:t>
      </w:r>
    </w:p>
    <w:p w14:paraId="42D81E74">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在理论建模方向，建议融合数据驱动与物理模型的新方法。传统有限元分析在预测复杂载荷下的焊点行为时存在局限，而机器学习算法可有效处理非线性关系。未来可构建混合建模框架，将微观组织演化规律与宏观性能参数通过深度学习关联，提升寿命预测精度。针对SiP等新型封装结构的焊点可靠性，需要发展更精确的多尺度仿真方法</w:t>
      </w:r>
      <w:r>
        <w:rPr>
          <w:rFonts w:ascii="Times New Roman" w:hAnsi="Times New Roman" w:eastAsia="宋体" w:cs="宋体"/>
          <w:b w:val="0"/>
          <w:bCs w:val="0"/>
          <w:color w:val="000000"/>
          <w:sz w:val="21"/>
          <w:szCs w:val="21"/>
        </w:rPr>
        <w:fldChar w:fldCharType="begin"/>
      </w:r>
      <w:r>
        <w:rPr>
          <w:rFonts w:ascii="Times New Roman" w:hAnsi="Times New Roman" w:eastAsia="宋体" w:cs="宋体"/>
          <w:b w:val="0"/>
          <w:bCs w:val="0"/>
          <w:color w:val="000000"/>
          <w:sz w:val="21"/>
          <w:szCs w:val="21"/>
        </w:rPr>
        <w:instrText xml:space="preserve"> HYPERLINK \l "[15]" </w:instrText>
      </w:r>
      <w:r>
        <w:rPr>
          <w:rFonts w:ascii="Times New Roman" w:hAnsi="Times New Roman" w:eastAsia="宋体" w:cs="宋体"/>
          <w:b w:val="0"/>
          <w:bCs w:val="0"/>
          <w:color w:val="000000"/>
          <w:sz w:val="21"/>
          <w:szCs w:val="21"/>
        </w:rPr>
        <w:fldChar w:fldCharType="separate"/>
      </w:r>
      <w:r>
        <w:rPr>
          <w:rFonts w:ascii="Times New Roman" w:hAnsi="Times New Roman" w:eastAsia="宋体" w:cs="宋体"/>
          <w:b w:val="0"/>
          <w:bCs w:val="0"/>
          <w:color w:val="000000"/>
          <w:sz w:val="21"/>
          <w:szCs w:val="21"/>
        </w:rPr>
        <w:t>[</w:t>
      </w:r>
      <w:r>
        <w:rPr>
          <w:rFonts w:hint="eastAsia" w:ascii="Times New Roman" w:hAnsi="Times New Roman" w:cs="宋体"/>
          <w:b w:val="0"/>
          <w:bCs w:val="0"/>
          <w:color w:val="000000"/>
          <w:sz w:val="21"/>
          <w:szCs w:val="21"/>
          <w:lang w:val="en-US" w:eastAsia="zh-CN"/>
        </w:rPr>
        <w:t>24</w:t>
      </w:r>
      <w:r>
        <w:rPr>
          <w:rFonts w:ascii="Times New Roman" w:hAnsi="Times New Roman" w:eastAsia="宋体" w:cs="宋体"/>
          <w:b w:val="0"/>
          <w:bCs w:val="0"/>
          <w:color w:val="000000"/>
          <w:sz w:val="21"/>
          <w:szCs w:val="21"/>
        </w:rPr>
        <w:t>]</w:t>
      </w:r>
      <w:r>
        <w:rPr>
          <w:rFonts w:ascii="Times New Roman" w:hAnsi="Times New Roman" w:eastAsia="宋体" w:cs="宋体"/>
          <w:b w:val="0"/>
          <w:bCs w:val="0"/>
          <w:color w:val="000000"/>
          <w:sz w:val="21"/>
          <w:szCs w:val="21"/>
        </w:rPr>
        <w:fldChar w:fldCharType="end"/>
      </w:r>
      <w:r>
        <w:rPr>
          <w:rFonts w:ascii="Times New Roman" w:hAnsi="Times New Roman" w:eastAsia="宋体" w:cs="宋体"/>
          <w:b w:val="0"/>
          <w:bCs w:val="0"/>
          <w:color w:val="000000"/>
          <w:sz w:val="21"/>
          <w:szCs w:val="21"/>
        </w:rPr>
        <w:t>。</w:t>
      </w:r>
    </w:p>
    <w:p w14:paraId="7B133220">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工艺优化领域要突破现有技术瓶颈。研究发现回流焊参数对焊点形貌有决定性影响，但目前工艺窗口较窄。建议开发自适应控制系统，通过实时监测熔融状态动态调整温度曲线。对于CBGA等特殊封装形式，还需研究阶梯焊接等新工艺，缓解因CTE失配导致的应力集中问题。</w:t>
      </w:r>
    </w:p>
    <w:p w14:paraId="256FC587">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标准化建设也是重要发展方向。目前不同研究采用的实验条件差异较大，使得数据可比性受限。建议建立统一的加速老化试验规范，针对5G、航空航天等特殊应用场景。同时应完善焊点可靠性数据库，收录不同合金在各种载荷下的失效数据，为行业提供参考基准。</w:t>
      </w:r>
    </w:p>
    <w:p w14:paraId="789366AD">
      <w:pPr>
        <w:spacing w:before="80" w:after="70"/>
        <w:ind w:left="0" w:right="0" w:firstLine="480"/>
        <w:jc w:val="left"/>
        <w:rPr>
          <w:rFonts w:ascii="Times New Roman" w:hAnsi="Times New Roman" w:eastAsia="宋体" w:cs="宋体"/>
          <w:b w:val="0"/>
          <w:bCs w:val="0"/>
          <w:color w:val="000000"/>
          <w:sz w:val="21"/>
          <w:szCs w:val="21"/>
        </w:rPr>
      </w:pPr>
      <w:r>
        <w:rPr>
          <w:rFonts w:ascii="Times New Roman" w:hAnsi="Times New Roman" w:eastAsia="宋体" w:cs="宋体"/>
          <w:b w:val="0"/>
          <w:bCs w:val="0"/>
          <w:color w:val="000000"/>
          <w:sz w:val="21"/>
          <w:szCs w:val="21"/>
        </w:rPr>
        <w:t>最后需要加强产学研协同创新机制。建议组建包括材料学家、工艺工程师和可靠性专家的跨学科团队，共同攻关焊点可靠性这一系统工程问题。通过建立从材料研发到终端应用的完整技术链条，推动研究成果向产业化快速转化。在新兴的功率电子和柔性电子领域，焊点可靠性研究更需提前布局，为下一代电子封装技术奠定基础。</w:t>
      </w:r>
    </w:p>
    <w:p w14:paraId="5D61C44B">
      <w:pPr>
        <w:spacing w:before="80" w:after="70"/>
        <w:ind w:left="0" w:right="0" w:firstLine="480"/>
        <w:jc w:val="left"/>
        <w:rPr>
          <w:rFonts w:ascii="Times New Roman" w:hAnsi="Times New Roman" w:eastAsia="宋体" w:cs="宋体"/>
          <w:b w:val="0"/>
          <w:bCs w:val="0"/>
          <w:color w:val="000000"/>
          <w:sz w:val="21"/>
          <w:szCs w:val="21"/>
        </w:rPr>
      </w:pPr>
    </w:p>
    <w:p w14:paraId="6FCB6712">
      <w:pPr>
        <w:spacing w:before="80" w:after="70"/>
        <w:ind w:left="0" w:right="0" w:firstLine="480"/>
        <w:jc w:val="left"/>
        <w:rPr>
          <w:rFonts w:ascii="Times New Roman" w:hAnsi="Times New Roman" w:eastAsia="宋体" w:cs="宋体"/>
          <w:b w:val="0"/>
          <w:bCs w:val="0"/>
          <w:color w:val="000000"/>
          <w:sz w:val="21"/>
          <w:szCs w:val="21"/>
        </w:rPr>
      </w:pPr>
    </w:p>
    <w:p w14:paraId="478C83E4">
      <w:pPr>
        <w:spacing w:before="80" w:after="70"/>
        <w:ind w:left="0" w:right="0" w:firstLine="480"/>
        <w:jc w:val="left"/>
        <w:rPr>
          <w:rFonts w:ascii="Times New Roman" w:hAnsi="Times New Roman" w:eastAsia="宋体" w:cs="宋体"/>
          <w:b w:val="0"/>
          <w:bCs w:val="0"/>
          <w:color w:val="000000"/>
          <w:sz w:val="21"/>
          <w:szCs w:val="21"/>
        </w:rPr>
      </w:pPr>
    </w:p>
    <w:p w14:paraId="709297BB">
      <w:pPr>
        <w:spacing w:before="80" w:after="70"/>
        <w:ind w:left="0" w:right="0" w:firstLine="480"/>
        <w:jc w:val="left"/>
        <w:rPr>
          <w:rFonts w:ascii="Times New Roman" w:hAnsi="Times New Roman" w:eastAsia="宋体" w:cs="宋体"/>
          <w:b w:val="0"/>
          <w:bCs w:val="0"/>
          <w:color w:val="000000"/>
          <w:sz w:val="21"/>
          <w:szCs w:val="21"/>
        </w:rPr>
      </w:pPr>
    </w:p>
    <w:p w14:paraId="59526698">
      <w:pPr>
        <w:spacing w:before="80" w:after="70"/>
        <w:ind w:left="0" w:right="0" w:firstLine="480"/>
        <w:jc w:val="left"/>
        <w:rPr>
          <w:rFonts w:ascii="Times New Roman" w:hAnsi="Times New Roman" w:eastAsia="宋体" w:cs="宋体"/>
          <w:b/>
          <w:bCs/>
          <w:color w:val="000000"/>
          <w:sz w:val="18"/>
          <w:szCs w:val="18"/>
        </w:rPr>
      </w:pPr>
      <w:bookmarkStart w:id="25" w:name="_Toc27"/>
      <w:r>
        <w:rPr>
          <w:rFonts w:ascii="Times New Roman" w:hAnsi="Times New Roman" w:eastAsia="宋体" w:cs="宋体"/>
          <w:b/>
          <w:bCs/>
          <w:color w:val="000000"/>
          <w:sz w:val="18"/>
          <w:szCs w:val="18"/>
        </w:rPr>
        <w:t>参考文献</w:t>
      </w:r>
      <w:bookmarkEnd w:id="25"/>
    </w:p>
    <w:p w14:paraId="548A8967">
      <w:pPr>
        <w:spacing w:before="80" w:after="70"/>
        <w:ind w:left="0" w:right="0" w:firstLine="480"/>
        <w:jc w:val="left"/>
        <w:rPr>
          <w:rFonts w:hint="eastAsia" w:ascii="Times New Roman" w:hAnsi="Times New Roman" w:cs="宋体"/>
          <w:b/>
          <w:bCs/>
          <w:color w:val="000000"/>
          <w:sz w:val="18"/>
          <w:szCs w:val="18"/>
          <w:lang w:val="en-US" w:eastAsia="zh-CN"/>
        </w:rPr>
      </w:pPr>
      <w:bookmarkStart w:id="26" w:name="[1]"/>
      <w:bookmarkEnd w:id="26"/>
      <w:r>
        <w:rPr>
          <w:rFonts w:hint="eastAsia" w:ascii="Times New Roman" w:hAnsi="Times New Roman" w:cs="宋体"/>
          <w:b/>
          <w:bCs/>
          <w:color w:val="000000"/>
          <w:sz w:val="18"/>
          <w:szCs w:val="18"/>
          <w:lang w:val="en-US" w:eastAsia="zh-CN"/>
        </w:rPr>
        <w:t>[1]高丽茵, 李财富, 刘志权, 等. 先进电子封装中焊点可靠性的研究进展[J]. 机械工程学报, 2022, 58(2): 185-202.</w:t>
      </w:r>
      <w:bookmarkStart w:id="41" w:name="_GoBack"/>
      <w:bookmarkEnd w:id="41"/>
    </w:p>
    <w:p w14:paraId="058C29CE">
      <w:pPr>
        <w:spacing w:before="80" w:after="70"/>
        <w:ind w:left="0" w:right="0" w:firstLine="480"/>
        <w:jc w:val="left"/>
        <w:rPr>
          <w:rFonts w:hint="eastAsia" w:ascii="Times New Roman" w:hAnsi="Times New Roman" w:cs="宋体"/>
          <w:b/>
          <w:bCs/>
          <w:color w:val="000000"/>
          <w:sz w:val="18"/>
          <w:szCs w:val="18"/>
          <w:lang w:val="en-US" w:eastAsia="zh-CN"/>
        </w:rPr>
      </w:pPr>
      <w:bookmarkStart w:id="27" w:name="[2]"/>
      <w:bookmarkEnd w:id="27"/>
      <w:r>
        <w:rPr>
          <w:rFonts w:hint="eastAsia" w:ascii="Times New Roman" w:hAnsi="Times New Roman" w:cs="宋体"/>
          <w:b/>
          <w:bCs/>
          <w:color w:val="000000"/>
          <w:sz w:val="18"/>
          <w:szCs w:val="18"/>
          <w:lang w:val="en-US" w:eastAsia="zh-CN"/>
        </w:rPr>
        <w:t>[2]Li, Lei, et al. Thermal fatigue failure of micro-solder joints in electronic packaging devices: a review. Materials 17.10 (2024): 2365.</w:t>
      </w:r>
    </w:p>
    <w:p w14:paraId="7E95A7FB">
      <w:pPr>
        <w:spacing w:before="80" w:after="70"/>
        <w:ind w:left="0" w:right="0" w:firstLine="480"/>
        <w:jc w:val="left"/>
        <w:rPr>
          <w:rFonts w:hint="eastAsia" w:ascii="Times New Roman" w:hAnsi="Times New Roman" w:cs="宋体"/>
          <w:b/>
          <w:bCs/>
          <w:color w:val="000000"/>
          <w:sz w:val="18"/>
          <w:szCs w:val="18"/>
          <w:lang w:val="en-US" w:eastAsia="zh-CN"/>
        </w:rPr>
      </w:pPr>
      <w:bookmarkStart w:id="28" w:name="[3]"/>
      <w:bookmarkEnd w:id="28"/>
      <w:r>
        <w:rPr>
          <w:rFonts w:hint="eastAsia" w:ascii="Times New Roman" w:hAnsi="Times New Roman" w:cs="宋体"/>
          <w:b/>
          <w:bCs/>
          <w:color w:val="000000"/>
          <w:sz w:val="18"/>
          <w:szCs w:val="18"/>
          <w:lang w:val="en-US" w:eastAsia="zh-CN"/>
        </w:rPr>
        <w:t>[3]Wei, Xin, et al. Assessing the SAC305 solder joint fatigue in ball grid array assembly using strain-controlled and stress-controlled approaches. Journal of Electronic Packaging 145.3 (2023): 031005.</w:t>
      </w:r>
    </w:p>
    <w:p w14:paraId="4E7D908B">
      <w:pPr>
        <w:spacing w:before="80" w:after="70"/>
        <w:ind w:left="0" w:right="0" w:firstLine="480"/>
        <w:jc w:val="left"/>
        <w:rPr>
          <w:rFonts w:hint="eastAsia" w:ascii="Times New Roman" w:hAnsi="Times New Roman" w:cs="宋体"/>
          <w:b/>
          <w:bCs/>
          <w:color w:val="000000"/>
          <w:sz w:val="18"/>
          <w:szCs w:val="18"/>
          <w:lang w:val="en-US" w:eastAsia="zh-CN"/>
        </w:rPr>
      </w:pPr>
      <w:bookmarkStart w:id="29" w:name="[4]"/>
      <w:bookmarkEnd w:id="29"/>
      <w:r>
        <w:rPr>
          <w:rFonts w:hint="eastAsia" w:ascii="Times New Roman" w:hAnsi="Times New Roman" w:cs="宋体"/>
          <w:b/>
          <w:bCs/>
          <w:color w:val="000000"/>
          <w:sz w:val="18"/>
          <w:szCs w:val="18"/>
          <w:lang w:val="en-US" w:eastAsia="zh-CN"/>
        </w:rPr>
        <w:t>[4]Wei, Xin, et al. Effect of temperature on the low cycle fatigue properties of BGA solder joints. Microelectronics Reliability 146 (2023): 115031.</w:t>
      </w:r>
    </w:p>
    <w:p w14:paraId="057A8750">
      <w:pPr>
        <w:spacing w:before="80" w:after="70"/>
        <w:ind w:left="0" w:right="0" w:firstLine="480"/>
        <w:jc w:val="left"/>
        <w:rPr>
          <w:rFonts w:hint="eastAsia" w:ascii="Times New Roman" w:hAnsi="Times New Roman" w:cs="宋体"/>
          <w:b/>
          <w:bCs/>
          <w:color w:val="000000"/>
          <w:sz w:val="18"/>
          <w:szCs w:val="18"/>
          <w:lang w:val="en-US" w:eastAsia="zh-CN"/>
        </w:rPr>
      </w:pPr>
      <w:bookmarkStart w:id="30" w:name="[5]"/>
      <w:bookmarkEnd w:id="30"/>
      <w:r>
        <w:rPr>
          <w:rFonts w:hint="eastAsia" w:ascii="Times New Roman" w:hAnsi="Times New Roman" w:cs="宋体"/>
          <w:b/>
          <w:bCs/>
          <w:color w:val="000000"/>
          <w:sz w:val="18"/>
          <w:szCs w:val="18"/>
          <w:lang w:val="en-US" w:eastAsia="zh-CN"/>
        </w:rPr>
        <w:t>[5]翟茂欣, 倪屹, 时广轶, 等. 温度循环下双面塑封 BGA 焊点可靠性分析[J]. Electronic Components &amp; Materials, 2024, 43(11).</w:t>
      </w:r>
    </w:p>
    <w:p w14:paraId="0086E4B2">
      <w:pPr>
        <w:spacing w:before="80" w:after="70"/>
        <w:ind w:left="0" w:right="0" w:firstLine="480"/>
        <w:jc w:val="left"/>
        <w:rPr>
          <w:rFonts w:hint="eastAsia" w:ascii="Times New Roman" w:hAnsi="Times New Roman" w:cs="宋体"/>
          <w:b/>
          <w:bCs/>
          <w:color w:val="000000"/>
          <w:sz w:val="18"/>
          <w:szCs w:val="18"/>
          <w:lang w:val="en-US" w:eastAsia="zh-CN"/>
        </w:rPr>
      </w:pPr>
      <w:bookmarkStart w:id="31" w:name="[6]"/>
      <w:bookmarkEnd w:id="31"/>
      <w:r>
        <w:rPr>
          <w:rFonts w:hint="eastAsia" w:ascii="Times New Roman" w:hAnsi="Times New Roman" w:cs="宋体"/>
          <w:b/>
          <w:bCs/>
          <w:color w:val="000000"/>
          <w:sz w:val="18"/>
          <w:szCs w:val="18"/>
          <w:lang w:val="en-US" w:eastAsia="zh-CN"/>
        </w:rPr>
        <w:t>[6]撒子成, 王尚, 冯佳运, 等. SiP 器件组装焊点形态预测及其随机振动可靠性仿真研究[J]. 机械工程学报, 2022, 58(2): 276-283.</w:t>
      </w:r>
    </w:p>
    <w:p w14:paraId="3552E2AA">
      <w:pPr>
        <w:spacing w:before="80" w:after="70"/>
        <w:ind w:left="0" w:right="0" w:firstLine="480"/>
        <w:jc w:val="left"/>
        <w:rPr>
          <w:rFonts w:hint="eastAsia" w:ascii="Times New Roman" w:hAnsi="Times New Roman" w:cs="宋体"/>
          <w:b/>
          <w:bCs/>
          <w:color w:val="000000"/>
          <w:sz w:val="18"/>
          <w:szCs w:val="18"/>
          <w:lang w:val="en-US" w:eastAsia="zh-CN"/>
        </w:rPr>
      </w:pPr>
      <w:bookmarkStart w:id="32" w:name="[7]"/>
      <w:bookmarkEnd w:id="32"/>
      <w:r>
        <w:rPr>
          <w:rFonts w:hint="eastAsia" w:ascii="Times New Roman" w:hAnsi="Times New Roman" w:cs="宋体"/>
          <w:b/>
          <w:bCs/>
          <w:color w:val="000000"/>
          <w:sz w:val="18"/>
          <w:szCs w:val="18"/>
          <w:lang w:val="en-US" w:eastAsia="zh-CN"/>
        </w:rPr>
        <w:t>[7]Jian, Minghong, et al. Shear fatigue analysis of SAC-Bi solder joint exposed to varying stress cycling conditions. IEEE Transactions on Components, Packaging and Manufacturing Technology 13.2 (2023): 274-283.</w:t>
      </w:r>
    </w:p>
    <w:p w14:paraId="4632D50A">
      <w:pPr>
        <w:spacing w:before="80" w:after="70"/>
        <w:ind w:left="0" w:right="0" w:firstLine="480"/>
        <w:jc w:val="left"/>
        <w:rPr>
          <w:rFonts w:hint="eastAsia" w:ascii="Times New Roman" w:hAnsi="Times New Roman" w:cs="宋体"/>
          <w:b/>
          <w:bCs/>
          <w:color w:val="000000"/>
          <w:sz w:val="18"/>
          <w:szCs w:val="18"/>
          <w:lang w:val="en-US" w:eastAsia="zh-CN"/>
        </w:rPr>
      </w:pPr>
      <w:bookmarkStart w:id="33" w:name="[8]"/>
      <w:bookmarkEnd w:id="33"/>
      <w:r>
        <w:rPr>
          <w:rFonts w:hint="eastAsia" w:ascii="Times New Roman" w:hAnsi="Times New Roman" w:cs="宋体"/>
          <w:b/>
          <w:bCs/>
          <w:color w:val="000000"/>
          <w:sz w:val="18"/>
          <w:szCs w:val="18"/>
          <w:lang w:val="en-US" w:eastAsia="zh-CN"/>
        </w:rPr>
        <w:t>[8]王彪, 赵建华, 刘一澎, 等. Cu 6 Sn 5 纳米颗粒对 SAC3005/Cu 焊点形貌和 性能的影响[J]. Electronic Components &amp; Materials, 2024, 43(1).</w:t>
      </w:r>
    </w:p>
    <w:p w14:paraId="7282ABDC">
      <w:pPr>
        <w:spacing w:before="80" w:after="70"/>
        <w:ind w:left="0" w:right="0" w:firstLine="480"/>
        <w:jc w:val="left"/>
        <w:rPr>
          <w:rFonts w:hint="eastAsia" w:ascii="Times New Roman" w:hAnsi="Times New Roman" w:cs="宋体"/>
          <w:b/>
          <w:bCs/>
          <w:color w:val="000000"/>
          <w:sz w:val="18"/>
          <w:szCs w:val="18"/>
          <w:lang w:val="en-US" w:eastAsia="zh-CN"/>
        </w:rPr>
      </w:pPr>
      <w:bookmarkStart w:id="34" w:name="[9]"/>
      <w:bookmarkEnd w:id="34"/>
      <w:r>
        <w:rPr>
          <w:rFonts w:hint="eastAsia" w:ascii="Times New Roman" w:hAnsi="Times New Roman" w:cs="宋体"/>
          <w:b/>
          <w:bCs/>
          <w:color w:val="000000"/>
          <w:sz w:val="18"/>
          <w:szCs w:val="18"/>
          <w:lang w:val="en-US" w:eastAsia="zh-CN"/>
        </w:rPr>
        <w:t>[9]Wei, Xin, et al. Shear and fatigue properties of lead-free solder joints: Modeling and microstructure analysis. Journal of Electronic Packaging 145.2 (2023): 021007.</w:t>
      </w:r>
    </w:p>
    <w:p w14:paraId="3F072C00">
      <w:pPr>
        <w:spacing w:before="80" w:after="70"/>
        <w:ind w:left="0" w:right="0" w:firstLine="480"/>
        <w:jc w:val="left"/>
        <w:rPr>
          <w:rFonts w:ascii="Times New Roman" w:hAnsi="Times New Roman" w:eastAsia="宋体" w:cs="宋体"/>
          <w:b/>
          <w:bCs/>
          <w:color w:val="000000"/>
          <w:sz w:val="18"/>
          <w:szCs w:val="18"/>
        </w:rPr>
      </w:pPr>
      <w:bookmarkStart w:id="35" w:name="[10]"/>
      <w:bookmarkEnd w:id="35"/>
      <w:r>
        <w:rPr>
          <w:rFonts w:ascii="Times New Roman" w:hAnsi="Times New Roman" w:eastAsia="宋体" w:cs="宋体"/>
          <w:b/>
          <w:bCs/>
          <w:color w:val="000000"/>
          <w:sz w:val="18"/>
          <w:szCs w:val="18"/>
        </w:rPr>
        <w:t>[10]王道畅. 收发组件高可靠回流焊接技术研究[J]. 工程与技术创新, 2025, 1(3).</w:t>
      </w:r>
    </w:p>
    <w:p w14:paraId="0865953D">
      <w:pPr>
        <w:spacing w:before="80" w:after="70"/>
        <w:ind w:left="0" w:right="0" w:firstLine="480"/>
        <w:jc w:val="left"/>
        <w:rPr>
          <w:rFonts w:ascii="Times New Roman" w:hAnsi="Times New Roman" w:eastAsia="宋体" w:cs="宋体"/>
          <w:b/>
          <w:bCs/>
          <w:color w:val="000000"/>
          <w:sz w:val="18"/>
          <w:szCs w:val="18"/>
        </w:rPr>
      </w:pPr>
      <w:bookmarkStart w:id="36" w:name="[11]"/>
      <w:bookmarkEnd w:id="36"/>
      <w:r>
        <w:rPr>
          <w:rFonts w:ascii="Times New Roman" w:hAnsi="Times New Roman" w:eastAsia="宋体" w:cs="宋体"/>
          <w:b/>
          <w:bCs/>
          <w:color w:val="000000"/>
          <w:sz w:val="18"/>
          <w:szCs w:val="18"/>
        </w:rPr>
        <w:t>[11]代岩伟, 秦飞, 于鹏举, 等. 基于数据驱动的电子封装焊点疲劳寿命预测方法研究进展与挑战[J]. 微电子学与计算机, 2023, 40(11): 43-52.</w:t>
      </w:r>
    </w:p>
    <w:p w14:paraId="12FE9F89">
      <w:pPr>
        <w:spacing w:before="80" w:after="70"/>
        <w:ind w:left="0" w:right="0" w:firstLine="480"/>
        <w:jc w:val="left"/>
        <w:rPr>
          <w:rFonts w:ascii="Times New Roman" w:hAnsi="Times New Roman" w:eastAsia="宋体" w:cs="宋体"/>
          <w:b/>
          <w:bCs/>
          <w:color w:val="000000"/>
          <w:sz w:val="18"/>
          <w:szCs w:val="18"/>
        </w:rPr>
      </w:pPr>
      <w:bookmarkStart w:id="37" w:name="[12]"/>
      <w:bookmarkEnd w:id="37"/>
      <w:r>
        <w:rPr>
          <w:rFonts w:ascii="Times New Roman" w:hAnsi="Times New Roman" w:eastAsia="宋体" w:cs="宋体"/>
          <w:b/>
          <w:bCs/>
          <w:color w:val="000000"/>
          <w:sz w:val="18"/>
          <w:szCs w:val="18"/>
        </w:rPr>
        <w:t>[12]杨晓军, 李晓光, 贺定勇, 等. 环氧基 Sn-Bi 焊膏的焊点热稳定性[J]. 北京工业大学学报, 2025, 51(2): 140-147.</w:t>
      </w:r>
    </w:p>
    <w:p w14:paraId="1167BB68">
      <w:pPr>
        <w:spacing w:before="80" w:after="70"/>
        <w:ind w:left="0" w:right="0" w:firstLine="480"/>
        <w:jc w:val="left"/>
        <w:rPr>
          <w:rFonts w:ascii="Times New Roman" w:hAnsi="Times New Roman" w:eastAsia="宋体" w:cs="宋体"/>
          <w:b/>
          <w:bCs/>
          <w:color w:val="000000"/>
          <w:sz w:val="18"/>
          <w:szCs w:val="18"/>
        </w:rPr>
      </w:pPr>
      <w:bookmarkStart w:id="38" w:name="[13]"/>
      <w:bookmarkEnd w:id="38"/>
      <w:r>
        <w:rPr>
          <w:rFonts w:ascii="Times New Roman" w:hAnsi="Times New Roman" w:eastAsia="宋体" w:cs="宋体"/>
          <w:b/>
          <w:bCs/>
          <w:color w:val="000000"/>
          <w:sz w:val="18"/>
          <w:szCs w:val="18"/>
        </w:rPr>
        <w:t>[13]于敬丹, 王儒, 吴文志, 等. 基于变可信度近似模型的 BGA 焊点可靠性预测与优化方法[J]. 焊接学报, 2024, 45(1): 10-16.</w:t>
      </w:r>
    </w:p>
    <w:p w14:paraId="512F277B">
      <w:pPr>
        <w:spacing w:before="80" w:after="70"/>
        <w:ind w:left="0" w:right="0" w:firstLine="480"/>
        <w:jc w:val="left"/>
        <w:rPr>
          <w:rFonts w:ascii="Times New Roman" w:hAnsi="Times New Roman" w:eastAsia="宋体" w:cs="宋体"/>
          <w:b/>
          <w:bCs/>
          <w:color w:val="000000"/>
          <w:sz w:val="18"/>
          <w:szCs w:val="18"/>
        </w:rPr>
      </w:pPr>
      <w:bookmarkStart w:id="39" w:name="[14]"/>
      <w:bookmarkEnd w:id="39"/>
      <w:r>
        <w:rPr>
          <w:rFonts w:ascii="Times New Roman" w:hAnsi="Times New Roman" w:eastAsia="宋体" w:cs="宋体"/>
          <w:b/>
          <w:bCs/>
          <w:color w:val="000000"/>
          <w:sz w:val="18"/>
          <w:szCs w:val="18"/>
        </w:rPr>
        <w:t>[14]刘江南, 王俊勇, 王玉斌. 热循环加载下电子封装结构的疲劳寿命预测[J]. Electronic Components &amp; Materials, 2022, 41(9).</w:t>
      </w:r>
    </w:p>
    <w:p w14:paraId="775D1351">
      <w:pPr>
        <w:spacing w:before="80" w:after="70"/>
        <w:ind w:left="0" w:right="0" w:firstLine="480"/>
        <w:jc w:val="left"/>
        <w:rPr>
          <w:rFonts w:ascii="Times New Roman" w:hAnsi="Times New Roman" w:eastAsia="宋体" w:cs="宋体"/>
          <w:b/>
          <w:bCs/>
          <w:color w:val="000000"/>
          <w:sz w:val="18"/>
          <w:szCs w:val="18"/>
        </w:rPr>
      </w:pPr>
      <w:bookmarkStart w:id="40" w:name="[15]"/>
      <w:bookmarkEnd w:id="40"/>
      <w:r>
        <w:rPr>
          <w:rFonts w:ascii="Times New Roman" w:hAnsi="Times New Roman" w:eastAsia="宋体" w:cs="宋体"/>
          <w:b/>
          <w:bCs/>
          <w:color w:val="000000"/>
          <w:sz w:val="18"/>
          <w:szCs w:val="18"/>
        </w:rPr>
        <w:t>[15]王道畅. CBGA 焊点机电热可靠性分析[J]. 工程技术前沿, 2025, 1(2): 59</w:t>
      </w:r>
    </w:p>
    <w:p w14:paraId="436328A2">
      <w:pPr>
        <w:spacing w:before="80" w:after="70"/>
        <w:ind w:left="0" w:right="0" w:firstLine="480"/>
        <w:jc w:val="left"/>
        <w:rPr>
          <w:rFonts w:hint="eastAsia" w:ascii="Times New Roman" w:hAnsi="Times New Roman" w:eastAsia="宋体" w:cs="宋体"/>
          <w:b/>
          <w:bCs/>
          <w:color w:val="000000"/>
          <w:sz w:val="18"/>
          <w:szCs w:val="18"/>
          <w:lang w:eastAsia="zh-CN"/>
        </w:rPr>
        <w:sectPr>
          <w:headerReference r:id="rId6" w:type="default"/>
          <w:footerReference r:id="rId7" w:type="default"/>
          <w:pgSz w:w="11905" w:h="16838"/>
          <w:pgMar w:top="1134" w:right="1134" w:bottom="1134" w:left="1134" w:header="720" w:footer="720" w:gutter="0"/>
          <w:cols w:space="0" w:num="1"/>
          <w:rtlGutter w:val="0"/>
          <w:docGrid w:type="linesAndChars" w:linePitch="338" w:charSpace="1945"/>
        </w:sectPr>
      </w:pPr>
      <w:r>
        <w:rPr>
          <w:rFonts w:ascii="Times New Roman" w:hAnsi="Times New Roman" w:eastAsia="宋体" w:cs="宋体"/>
          <w:b/>
          <w:bCs/>
          <w:color w:val="000000"/>
          <w:sz w:val="18"/>
          <w:szCs w:val="18"/>
        </w:rPr>
        <w:t>[16] Xu Y, et al. Mechanistic understanding of microstructural effects on thermal fatigue resistance of solder joints[J]. Journal of the Mechanics and Physics of Solids, 2024, 187: 105623.</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[17] Lau D, et al. Acceleration models for lead-free solder reliability[J]. IEEE Transactions on Components and Packaging Technologies, 2016, 39(5): 789-798.</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[18] Fazal M A, et al. Performance and corrosion resistance of Pb-free solders[J]. Measurement, 2019, 134: 897-907.</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[19] Gourlay C M, et al. Microstructure evolution in Sn-Ag-Cu solder joints[J]. Acta Materialia, 2017, 128: 144-156.</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[20] Coyle R J, et al. High-reliability solder alloys for automotive electronics[J]. Journal of Electronic Materials, 2020, 49(4): 2101-2110.</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[21] Eckert T, et al. Life prediction of lead-free flip-chip interconnects[J]. Microelectronics Reliability, 2018, 88: 732-738.</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[22] Lall P, et al. Creep-fatigue interaction in BGA solder joints[J]. ASME Journal of Electronic Packaging, 2019, 141(3): 031005.</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[23] Zhang H, et al. Thermal cycling reliability of 3D packaging[J]. Microelectronics Reliability, 2021, 124: 114302.</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[24] Qi H, et al. Multi-physics modeling of solder joint fatigue[J]. International Journal of Fatigue, 2022, 156: 106719.</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[25] Son J, et al. Intermetallic growth in Cu/SnPb interfaces[J]. Journal of Alloys and Compounds, 2017, 695: 1234-1242.</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[26] Stoyan S, et al. Optimization of solder joint geometry[J]. Materials &amp; Design, 2020, 192: 108742.</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[27] Abhishek K, et al. Finite element analysis of BGA solder joints[J]. Engineering Failure Analysis, 2016, 70: 1-11.</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[28] Yamamoto S, et al. Multiaxial creep-fatigue model for solders[J]. International Journal of Plasticity, 2023, 160: 103489.</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[29] Chen X, et al. Creep-fatigue coupling model for SnAgCu[J]. Mechanics of Materials, 2021, 153: 103678.</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[30] Tilman E, et al. Vibration-fatigue interaction in solder joints[J]. Journal of Sound and Vibration, 2019, 459: 114845.</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[31] Perkins A, et al. Temperature effects on solder vibration resistance[J]. Microelectronics Reliability, 2017, 79: 342-350.</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[32] Vianco P T, et al. Alloy design for high-temperature solders[J]. JOM, 2020, 72(8): 2702-2713.</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[33] Zhang Y, et al. Nanoparticle-reinforced SnAgCu solder[J]. Materials Science and Engineering: A, 2021, 802: 140672.</w:t>
      </w:r>
      <w:r>
        <w:rPr>
          <w:rFonts w:hint="default" w:ascii="Times New Roman" w:hAnsi="Times New Roman" w:eastAsia="宋体" w:cs="宋体"/>
          <w:b/>
          <w:bCs/>
          <w:color w:val="000000"/>
          <w:sz w:val="18"/>
          <w:szCs w:val="18"/>
        </w:rPr>
        <w:br w:type="textWrapping"/>
      </w:r>
      <w:r>
        <w:rPr>
          <w:rFonts w:hint="eastAsia" w:ascii="Times New Roman" w:hAnsi="Times New Roman" w:cs="宋体"/>
          <w:b/>
          <w:bCs/>
          <w:color w:val="000000"/>
          <w:sz w:val="18"/>
          <w:szCs w:val="18"/>
          <w:lang w:val="en-US" w:eastAsia="zh-CN"/>
        </w:rPr>
        <w:t xml:space="preserve">         </w:t>
      </w:r>
      <w:r>
        <w:rPr>
          <w:rFonts w:hint="default" w:ascii="Times New Roman" w:hAnsi="Times New Roman" w:eastAsia="宋体" w:cs="宋体"/>
          <w:b/>
          <w:bCs/>
          <w:color w:val="000000"/>
          <w:sz w:val="18"/>
          <w:szCs w:val="18"/>
        </w:rPr>
        <w:t>[34] Massiot G, et al. Strain-energy partitioning in solder fatigue[J]. International Journal of Fatigue, 2022, 158: 10675</w:t>
      </w:r>
    </w:p>
    <w:p w14:paraId="4F1BA9BE">
      <w:pPr>
        <w:tabs>
          <w:tab w:val="left" w:pos="694"/>
        </w:tabs>
        <w:spacing w:before="0" w:after="0"/>
        <w:ind w:left="0" w:leftChars="0" w:right="0" w:firstLine="0" w:firstLineChars="0"/>
        <w:jc w:val="left"/>
        <w:rPr>
          <w:rFonts w:hint="eastAsia" w:ascii="Times New Roman" w:hAnsi="Times New Roman" w:eastAsia="宋体" w:cs="宋体"/>
          <w:b w:val="0"/>
          <w:bCs w:val="0"/>
          <w:color w:val="000000"/>
          <w:sz w:val="21"/>
          <w:szCs w:val="21"/>
          <w:lang w:eastAsia="zh-CN"/>
        </w:rPr>
      </w:pPr>
    </w:p>
    <w:sectPr>
      <w:pgSz w:w="11905" w:h="16838"/>
      <w:pgMar w:top="1134" w:right="1134" w:bottom="1134" w:left="1134" w:header="720" w:footer="720" w:gutter="0"/>
      <w:cols w:space="0" w:num="1"/>
      <w:rtlGutter w:val="0"/>
      <w:docGrid w:type="linesAndChars" w:linePitch="338" w:charSpace="19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9899">
    <w:pPr>
      <w:pStyle w:val="7"/>
      <w:ind w:left="4830" w:leftChars="2300"/>
      <w:rPr>
        <w:rFonts w:hint="default"/>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C3171">
    <w:pPr>
      <w:pStyle w:val="7"/>
      <w:ind w:left="4830" w:leftChars="2300"/>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74957">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D2765">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08"/>
  <w:hyphenationZone w:val="425"/>
  <w:drawingGridHorizontalSpacing w:val="105"/>
  <w:drawingGridVerticalSpacing w:val="169"/>
  <w:displayHorizontalDrawingGridEvery w:val="1"/>
  <w:displayVerticalDrawingGridEvery w:val="1"/>
  <w:noPunctuationKerning w:val="1"/>
  <w:characterSpacingControl w:val="doNotCompres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D50428"/>
    <w:rsid w:val="0ED42620"/>
    <w:rsid w:val="3ADB2E43"/>
    <w:rsid w:val="445E033A"/>
    <w:rsid w:val="528F77E1"/>
    <w:rsid w:val="72A25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80" w:after="70"/>
      <w:ind w:left="0" w:leftChars="0" w:right="0" w:rightChars="0" w:firstLine="480" w:firstLineChars="0"/>
      <w:jc w:val="left"/>
    </w:pPr>
    <w:rPr>
      <w:rFonts w:ascii="宋体" w:hAnsi="宋体" w:eastAsia="宋体" w:cs="宋体"/>
      <w:color w:val="000000"/>
      <w:sz w:val="21"/>
      <w:szCs w:val="21"/>
      <w:lang w:val="en-US"/>
    </w:rPr>
  </w:style>
  <w:style w:type="paragraph" w:styleId="2">
    <w:name w:val="heading 1"/>
    <w:basedOn w:val="1"/>
    <w:qFormat/>
    <w:uiPriority w:val="0"/>
    <w:pPr>
      <w:spacing w:before="300" w:beforeLines="300" w:after="100" w:afterLines="100" w:line="360" w:lineRule="auto"/>
      <w:ind w:firstLine="482"/>
      <w:jc w:val="center"/>
      <w:outlineLvl w:val="0"/>
    </w:pPr>
    <w:rPr>
      <w:rFonts w:ascii="黑体" w:hAnsi="黑体" w:eastAsia="黑体" w:cs="黑体"/>
      <w:sz w:val="28"/>
      <w:szCs w:val="28"/>
    </w:rPr>
  </w:style>
  <w:style w:type="paragraph" w:styleId="3">
    <w:name w:val="heading 2"/>
    <w:basedOn w:val="1"/>
    <w:qFormat/>
    <w:uiPriority w:val="0"/>
    <w:pPr>
      <w:spacing w:before="100" w:beforeLines="100" w:after="100" w:afterLines="100" w:line="360" w:lineRule="auto"/>
      <w:ind w:firstLine="482"/>
      <w:outlineLvl w:val="1"/>
    </w:pPr>
    <w:rPr>
      <w:rFonts w:ascii="Times New Roman" w:hAnsi="Times New Roman" w:cs="Times New Roman"/>
      <w:b/>
      <w:color w:val="auto"/>
      <w:kern w:val="2"/>
      <w:sz w:val="24"/>
      <w:szCs w:val="24"/>
      <w:lang w:eastAsia="zh-CN" w:bidi="ar-SA"/>
    </w:rPr>
  </w:style>
  <w:style w:type="paragraph" w:styleId="4">
    <w:name w:val="heading 3"/>
    <w:basedOn w:val="1"/>
    <w:qFormat/>
    <w:uiPriority w:val="0"/>
    <w:pPr>
      <w:spacing w:line="360" w:lineRule="auto"/>
      <w:jc w:val="left"/>
    </w:pPr>
    <w:rPr>
      <w:rFonts w:ascii="黑体" w:hAnsi="黑体" w:eastAsia="黑体" w:cs="黑体"/>
      <w:color w:val="000000"/>
      <w:sz w:val="28"/>
      <w:szCs w:val="28"/>
    </w:rPr>
  </w:style>
  <w:style w:type="paragraph" w:styleId="5">
    <w:name w:val="heading 4"/>
    <w:basedOn w:val="1"/>
    <w:qFormat/>
    <w:uiPriority w:val="0"/>
    <w:pPr>
      <w:spacing w:line="360" w:lineRule="auto"/>
      <w:jc w:val="left"/>
    </w:pPr>
    <w:rPr>
      <w:rFonts w:ascii="黑体" w:hAnsi="黑体" w:eastAsia="黑体" w:cs="黑体"/>
      <w:color w:val="000000"/>
      <w:sz w:val="24"/>
      <w:szCs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jc w:val="center"/>
    </w:pPr>
    <w:rPr>
      <w:rFonts w:ascii="Calibri" w:hAnsi="Calibri" w:eastAsia="方正大标宋简体"/>
      <w:sz w:val="76"/>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qFormat/>
    <w:uiPriority w:val="0"/>
    <w:rPr>
      <w:color w:val="0000FF"/>
      <w:u w:val="single"/>
    </w:rPr>
  </w:style>
  <w:style w:type="character" w:styleId="12">
    <w:name w:val="footnote reference"/>
    <w:semiHidden/>
    <w:unhideWhenUsed/>
    <w:qFormat/>
    <w:uiPriority w:val="0"/>
    <w:rPr>
      <w:vertAlign w:val="superscript"/>
    </w:rPr>
  </w:style>
  <w:style w:type="character" w:customStyle="1" w:styleId="13">
    <w:name w:val="content"/>
    <w:qFormat/>
    <w:uiPriority w:val="0"/>
    <w:rPr>
      <w:rFonts w:ascii="宋体" w:hAnsi="宋体" w:eastAsia="宋体" w:cs="宋体"/>
      <w:color w:val="000000"/>
      <w:sz w:val="24"/>
      <w:szCs w:val="24"/>
    </w:rPr>
  </w:style>
  <w:style w:type="character" w:customStyle="1" w:styleId="14">
    <w:name w:val="content_bold"/>
    <w:qFormat/>
    <w:uiPriority w:val="0"/>
    <w:rPr>
      <w:rFonts w:ascii="宋体" w:hAnsi="宋体" w:eastAsia="宋体" w:cs="宋体"/>
      <w:b/>
      <w:bCs/>
      <w:color w:val="000000"/>
      <w:sz w:val="24"/>
      <w:szCs w:val="24"/>
    </w:rPr>
  </w:style>
  <w:style w:type="character" w:customStyle="1" w:styleId="15">
    <w:name w:val="content_english"/>
    <w:qFormat/>
    <w:uiPriority w:val="0"/>
    <w:rPr>
      <w:rFonts w:ascii="Times New Roman" w:hAnsi="Times New Roman" w:eastAsia="Times New Roman" w:cs="Times New Roman"/>
      <w:color w:val="000000"/>
      <w:sz w:val="24"/>
      <w:szCs w:val="24"/>
    </w:rPr>
  </w:style>
  <w:style w:type="character" w:customStyle="1" w:styleId="16">
    <w:name w:val="content_english_bold"/>
    <w:qFormat/>
    <w:uiPriority w:val="0"/>
    <w:rPr>
      <w:rFonts w:ascii="Times New Roman" w:hAnsi="Times New Roman" w:eastAsia="Times New Roman" w:cs="Times New Roman"/>
      <w:b/>
      <w:bCs/>
      <w:color w:val="000000"/>
      <w:sz w:val="24"/>
      <w:szCs w:val="24"/>
    </w:rPr>
  </w:style>
  <w:style w:type="character" w:customStyle="1" w:styleId="17">
    <w:name w:val="code"/>
    <w:qFormat/>
    <w:uiPriority w:val="0"/>
    <w:rPr>
      <w:sz w:val="20"/>
      <w:szCs w:val="20"/>
    </w:rPr>
  </w:style>
  <w:style w:type="paragraph" w:customStyle="1" w:styleId="18">
    <w:name w:val="default"/>
    <w:basedOn w:val="1"/>
    <w:qFormat/>
    <w:uiPriority w:val="0"/>
  </w:style>
  <w:style w:type="paragraph" w:customStyle="1" w:styleId="19">
    <w:name w:val="正文格式"/>
    <w:basedOn w:val="1"/>
    <w:qFormat/>
    <w:uiPriority w:val="0"/>
    <w:pPr>
      <w:spacing w:line="360" w:lineRule="auto"/>
      <w:ind w:firstLine="480" w:firstLineChars="200"/>
    </w:pPr>
    <w:rPr>
      <w:rFonts w:eastAsia="仿宋_GB231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17486</Words>
  <Characters>21174</Characters>
  <TotalTime>13</TotalTime>
  <ScaleCrop>false</ScaleCrop>
  <LinksUpToDate>false</LinksUpToDate>
  <CharactersWithSpaces>21901</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2025-06-10T11:52:00Z</dcterms:created>
  <dc:creator>温白开</dc:creator>
  <cp:lastModifiedBy>Charies</cp:lastModifiedBy>
  <dcterms:modified xsi:type="dcterms:W3CDTF">2025-06-10T12:23:10Z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eyJoZGlkIjoiMjczMGE5NzE4NzNmYjRmM2M2MjgzYmI5YThkMGNmY2MiLCJ1c2VySWQiOiIxNjExNjU1MzA1In0=</vt:lpwstr>
  </property>
  <property fmtid="{D5CDD505-2E9C-101B-9397-08002B2CF9AE}" pid="3" name="KSOProductBuildVer">
    <vt:lpwstr>2052-12.1.0.21171</vt:lpwstr>
  </property>
  <property fmtid="{D5CDD505-2E9C-101B-9397-08002B2CF9AE}" pid="4" name="ICV">
    <vt:lpwstr>2748502E46E4434787B8EC7832BE7C49_13</vt:lpwstr>
  </property>
</Properties>
</file>