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pPr>
      <w:bookmarkStart w:id="15" w:name="_GoBack"/>
      <w:bookmarkEnd w:id="15"/>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709910"/>
            <wp:effectExtent l="0" t="0" r="0" b="0"/>
            <wp:wrapNone/>
            <wp:docPr id="1" name="背景图"/>
            <wp:cNvGraphicFramePr/>
            <a:graphic xmlns:a="http://schemas.openxmlformats.org/drawingml/2006/main">
              <a:graphicData uri="http://schemas.openxmlformats.org/drawingml/2006/picture">
                <pic:pic xmlns:pic="http://schemas.openxmlformats.org/drawingml/2006/picture">
                  <pic:nvPicPr>
                    <pic:cNvPr id="1" name="背景图"/>
                    <pic:cNvPicPr/>
                  </pic:nvPicPr>
                  <pic:blipFill>
                    <a:blip r:embed="rId6"/>
                    <a:stretch>
                      <a:fillRect/>
                    </a:stretch>
                  </pic:blipFill>
                  <pic:spPr>
                    <a:xfrm>
                      <a:off x="0" y="0"/>
                      <a:ext cx="7560000" cy="10710000"/>
                    </a:xfrm>
                    <a:prstGeom prst="rect">
                      <a:avLst/>
                    </a:prstGeom>
                  </pic:spPr>
                </pic:pic>
              </a:graphicData>
            </a:graphic>
          </wp:anchor>
        </w:drawing>
      </w:r>
    </w:p>
    <w:p>
      <w:pPr>
        <w:spacing w:before="11339" w:after="0"/>
      </w:pPr>
    </w:p>
    <w:p>
      <w:pPr>
        <w:jc w:val="center"/>
      </w:pPr>
      <w:r>
        <w:rPr>
          <w:b/>
          <w:color w:val="000000"/>
          <w:sz w:val="56"/>
        </w:rPr>
        <w:t>首次安全体检报告</w:t>
      </w:r>
    </w:p>
    <w:p>
      <w:pPr>
        <w:spacing w:before="567" w:after="0"/>
      </w:pPr>
    </w:p>
    <w:p>
      <w:pPr>
        <w:jc w:val="center"/>
      </w:pPr>
      <w:r>
        <w:rPr>
          <w:color w:val="000000"/>
          <w:sz w:val="28"/>
        </w:rPr>
        <w:t>~</w:t>
      </w:r>
    </w:p>
    <w:p>
      <w:pPr>
        <w:sectPr>
          <w:pgSz w:w="11906" w:h="16838"/>
          <w:pgMar w:top="0" w:right="0" w:bottom="0" w:left="0" w:header="720" w:footer="720" w:gutter="0"/>
          <w:cols w:space="720" w:num="1"/>
          <w:docGrid w:linePitch="360" w:charSpace="0"/>
        </w:sectPr>
      </w:pPr>
    </w:p>
    <w:p>
      <w:pPr>
        <w:jc w:val="center"/>
      </w:pPr>
      <w:r>
        <w:rPr>
          <w:b/>
          <w:sz w:val="36"/>
        </w:rPr>
        <w:t>目录</w:t>
      </w:r>
    </w:p>
    <w:p>
      <w:pPr>
        <w:pStyle w:val="29"/>
        <w:tabs>
          <w:tab w:val="right" w:leader="dot" w:pos="9638"/>
        </w:tabs>
      </w:pPr>
      <w:r>
        <w:fldChar w:fldCharType="begin"/>
      </w:r>
      <w:r>
        <w:instrText xml:space="preserve"> TOC \o "1-3" \h \z </w:instrText>
      </w:r>
      <w:r>
        <w:fldChar w:fldCharType="separate"/>
      </w:r>
      <w:r>
        <w:fldChar w:fldCharType="begin"/>
      </w:r>
      <w:r>
        <w:instrText xml:space="preserve"> HYPERLINK \l _Toc16593 </w:instrText>
      </w:r>
      <w:r>
        <w:fldChar w:fldCharType="separate"/>
      </w:r>
      <w:r>
        <w:t>1. 项目背景</w:t>
      </w:r>
      <w:r>
        <w:tab/>
      </w:r>
      <w:r>
        <w:fldChar w:fldCharType="begin"/>
      </w:r>
      <w:r>
        <w:instrText xml:space="preserve"> PAGEREF _Toc16593 \h </w:instrText>
      </w:r>
      <w:r>
        <w:fldChar w:fldCharType="separate"/>
      </w:r>
      <w:r>
        <w:t>3</w:t>
      </w:r>
      <w:r>
        <w:fldChar w:fldCharType="end"/>
      </w:r>
      <w:r>
        <w:fldChar w:fldCharType="end"/>
      </w:r>
    </w:p>
    <w:p>
      <w:pPr>
        <w:pStyle w:val="29"/>
        <w:tabs>
          <w:tab w:val="right" w:leader="dot" w:pos="9638"/>
        </w:tabs>
      </w:pPr>
      <w:r>
        <w:fldChar w:fldCharType="begin"/>
      </w:r>
      <w:r>
        <w:instrText xml:space="preserve"> HYPERLINK \l _Toc27631 </w:instrText>
      </w:r>
      <w:r>
        <w:fldChar w:fldCharType="separate"/>
      </w:r>
      <w:r>
        <w:t>2. 资产台账</w:t>
      </w:r>
      <w:r>
        <w:tab/>
      </w:r>
      <w:r>
        <w:fldChar w:fldCharType="begin"/>
      </w:r>
      <w:r>
        <w:instrText xml:space="preserve"> PAGEREF _Toc27631 \h </w:instrText>
      </w:r>
      <w:r>
        <w:fldChar w:fldCharType="separate"/>
      </w:r>
      <w:r>
        <w:t>3</w:t>
      </w:r>
      <w:r>
        <w:fldChar w:fldCharType="end"/>
      </w:r>
      <w:r>
        <w:fldChar w:fldCharType="end"/>
      </w:r>
    </w:p>
    <w:p>
      <w:pPr>
        <w:pStyle w:val="29"/>
        <w:tabs>
          <w:tab w:val="right" w:leader="dot" w:pos="9638"/>
        </w:tabs>
      </w:pPr>
      <w:r>
        <w:fldChar w:fldCharType="begin"/>
      </w:r>
      <w:r>
        <w:instrText xml:space="preserve"> HYPERLINK \l _Toc21766 </w:instrText>
      </w:r>
      <w:r>
        <w:fldChar w:fldCharType="separate"/>
      </w:r>
      <w:r>
        <w:t>3. 风险总览</w:t>
      </w:r>
      <w:r>
        <w:tab/>
      </w:r>
      <w:r>
        <w:fldChar w:fldCharType="begin"/>
      </w:r>
      <w:r>
        <w:instrText xml:space="preserve"> PAGEREF _Toc21766 \h </w:instrText>
      </w:r>
      <w:r>
        <w:fldChar w:fldCharType="separate"/>
      </w:r>
      <w:r>
        <w:t>4</w:t>
      </w:r>
      <w:r>
        <w:fldChar w:fldCharType="end"/>
      </w:r>
      <w:r>
        <w:fldChar w:fldCharType="end"/>
      </w:r>
    </w:p>
    <w:p>
      <w:pPr>
        <w:pStyle w:val="24"/>
        <w:tabs>
          <w:tab w:val="right" w:leader="dot" w:pos="9638"/>
        </w:tabs>
      </w:pPr>
      <w:r>
        <w:fldChar w:fldCharType="begin"/>
      </w:r>
      <w:r>
        <w:instrText xml:space="preserve"> HYPERLINK \l _Toc28891 </w:instrText>
      </w:r>
      <w:r>
        <w:fldChar w:fldCharType="separate"/>
      </w:r>
      <w:r>
        <w:t>3.1 关键风险如下</w:t>
      </w:r>
      <w:r>
        <w:tab/>
      </w:r>
      <w:r>
        <w:fldChar w:fldCharType="begin"/>
      </w:r>
      <w:r>
        <w:instrText xml:space="preserve"> PAGEREF _Toc28891 \h </w:instrText>
      </w:r>
      <w:r>
        <w:fldChar w:fldCharType="separate"/>
      </w:r>
      <w:r>
        <w:t>4</w:t>
      </w:r>
      <w:r>
        <w:fldChar w:fldCharType="end"/>
      </w:r>
      <w:r>
        <w:fldChar w:fldCharType="end"/>
      </w:r>
    </w:p>
    <w:p>
      <w:pPr>
        <w:pStyle w:val="24"/>
        <w:tabs>
          <w:tab w:val="right" w:leader="dot" w:pos="9638"/>
        </w:tabs>
      </w:pPr>
      <w:r>
        <w:fldChar w:fldCharType="begin"/>
      </w:r>
      <w:r>
        <w:instrText xml:space="preserve"> HYPERLINK \l _Toc5317 </w:instrText>
      </w:r>
      <w:r>
        <w:fldChar w:fldCharType="separate"/>
      </w:r>
      <w:r>
        <w:t>3.2 风险资产 TOP5</w:t>
      </w:r>
      <w:r>
        <w:tab/>
      </w:r>
      <w:r>
        <w:fldChar w:fldCharType="begin"/>
      </w:r>
      <w:r>
        <w:instrText xml:space="preserve"> PAGEREF _Toc5317 \h </w:instrText>
      </w:r>
      <w:r>
        <w:fldChar w:fldCharType="separate"/>
      </w:r>
      <w:r>
        <w:t>11</w:t>
      </w:r>
      <w:r>
        <w:fldChar w:fldCharType="end"/>
      </w:r>
      <w:r>
        <w:fldChar w:fldCharType="end"/>
      </w:r>
    </w:p>
    <w:p>
      <w:pPr>
        <w:pStyle w:val="29"/>
        <w:tabs>
          <w:tab w:val="right" w:leader="dot" w:pos="9638"/>
        </w:tabs>
      </w:pPr>
      <w:r>
        <w:fldChar w:fldCharType="begin"/>
      </w:r>
      <w:r>
        <w:instrText xml:space="preserve"> HYPERLINK \l _Toc3256 </w:instrText>
      </w:r>
      <w:r>
        <w:fldChar w:fldCharType="separate"/>
      </w:r>
      <w:r>
        <w:t>4. 风险详情</w:t>
      </w:r>
      <w:r>
        <w:tab/>
      </w:r>
      <w:r>
        <w:fldChar w:fldCharType="begin"/>
      </w:r>
      <w:r>
        <w:instrText xml:space="preserve"> PAGEREF _Toc3256 \h </w:instrText>
      </w:r>
      <w:r>
        <w:fldChar w:fldCharType="separate"/>
      </w:r>
      <w:r>
        <w:t>12</w:t>
      </w:r>
      <w:r>
        <w:fldChar w:fldCharType="end"/>
      </w:r>
      <w:r>
        <w:fldChar w:fldCharType="end"/>
      </w:r>
    </w:p>
    <w:p>
      <w:pPr>
        <w:pStyle w:val="24"/>
        <w:tabs>
          <w:tab w:val="right" w:leader="dot" w:pos="9638"/>
        </w:tabs>
      </w:pPr>
      <w:r>
        <w:fldChar w:fldCharType="begin"/>
      </w:r>
      <w:r>
        <w:instrText xml:space="preserve"> HYPERLINK \l _Toc23544 </w:instrText>
      </w:r>
      <w:r>
        <w:fldChar w:fldCharType="separate"/>
      </w:r>
      <w:r>
        <w:t>4.1 威胁运营</w:t>
      </w:r>
      <w:r>
        <w:tab/>
      </w:r>
      <w:r>
        <w:fldChar w:fldCharType="begin"/>
      </w:r>
      <w:r>
        <w:instrText xml:space="preserve"> PAGEREF _Toc23544 \h </w:instrText>
      </w:r>
      <w:r>
        <w:fldChar w:fldCharType="separate"/>
      </w:r>
      <w:r>
        <w:t>12</w:t>
      </w:r>
      <w:r>
        <w:fldChar w:fldCharType="end"/>
      </w:r>
      <w:r>
        <w:fldChar w:fldCharType="end"/>
      </w:r>
    </w:p>
    <w:p>
      <w:pPr>
        <w:pStyle w:val="24"/>
        <w:tabs>
          <w:tab w:val="right" w:leader="dot" w:pos="9638"/>
        </w:tabs>
      </w:pPr>
      <w:r>
        <w:fldChar w:fldCharType="begin"/>
      </w:r>
      <w:r>
        <w:instrText xml:space="preserve"> HYPERLINK \l _Toc25183 </w:instrText>
      </w:r>
      <w:r>
        <w:fldChar w:fldCharType="separate"/>
      </w:r>
      <w:r>
        <w:t>4.2 威胁预防</w:t>
      </w:r>
      <w:r>
        <w:tab/>
      </w:r>
      <w:r>
        <w:fldChar w:fldCharType="begin"/>
      </w:r>
      <w:r>
        <w:instrText xml:space="preserve"> PAGEREF _Toc25183 \h </w:instrText>
      </w:r>
      <w:r>
        <w:fldChar w:fldCharType="separate"/>
      </w:r>
      <w:r>
        <w:t>17</w:t>
      </w:r>
      <w:r>
        <w:fldChar w:fldCharType="end"/>
      </w:r>
      <w:r>
        <w:fldChar w:fldCharType="end"/>
      </w:r>
    </w:p>
    <w:p>
      <w:pPr>
        <w:pStyle w:val="29"/>
        <w:tabs>
          <w:tab w:val="right" w:leader="dot" w:pos="9638"/>
        </w:tabs>
      </w:pPr>
      <w:r>
        <w:fldChar w:fldCharType="begin"/>
      </w:r>
      <w:r>
        <w:instrText xml:space="preserve"> HYPERLINK \l _Toc26207 </w:instrText>
      </w:r>
      <w:r>
        <w:fldChar w:fldCharType="separate"/>
      </w:r>
      <w:r>
        <w:t>5. 附录</w:t>
      </w:r>
      <w:r>
        <w:tab/>
      </w:r>
      <w:r>
        <w:fldChar w:fldCharType="begin"/>
      </w:r>
      <w:r>
        <w:instrText xml:space="preserve"> PAGEREF _Toc26207 \h </w:instrText>
      </w:r>
      <w:r>
        <w:fldChar w:fldCharType="separate"/>
      </w:r>
      <w:r>
        <w:t>22</w:t>
      </w:r>
      <w:r>
        <w:fldChar w:fldCharType="end"/>
      </w:r>
      <w:r>
        <w:fldChar w:fldCharType="end"/>
      </w:r>
    </w:p>
    <w:p>
      <w:pPr>
        <w:pStyle w:val="24"/>
        <w:tabs>
          <w:tab w:val="right" w:leader="dot" w:pos="9638"/>
        </w:tabs>
      </w:pPr>
      <w:r>
        <w:fldChar w:fldCharType="begin"/>
      </w:r>
      <w:r>
        <w:instrText xml:space="preserve"> HYPERLINK \l _Toc31154 </w:instrText>
      </w:r>
      <w:r>
        <w:fldChar w:fldCharType="separate"/>
      </w:r>
      <w:r>
        <w:t>5.1 评估原则</w:t>
      </w:r>
      <w:r>
        <w:tab/>
      </w:r>
      <w:r>
        <w:fldChar w:fldCharType="begin"/>
      </w:r>
      <w:r>
        <w:instrText xml:space="preserve"> PAGEREF _Toc31154 \h </w:instrText>
      </w:r>
      <w:r>
        <w:fldChar w:fldCharType="separate"/>
      </w:r>
      <w:r>
        <w:t>22</w:t>
      </w:r>
      <w:r>
        <w:fldChar w:fldCharType="end"/>
      </w:r>
      <w:r>
        <w:fldChar w:fldCharType="end"/>
      </w:r>
    </w:p>
    <w:p>
      <w:pPr>
        <w:pStyle w:val="24"/>
        <w:tabs>
          <w:tab w:val="right" w:leader="dot" w:pos="9638"/>
        </w:tabs>
      </w:pPr>
      <w:r>
        <w:fldChar w:fldCharType="begin"/>
      </w:r>
      <w:r>
        <w:instrText xml:space="preserve"> HYPERLINK \l _Toc29425 </w:instrText>
      </w:r>
      <w:r>
        <w:fldChar w:fldCharType="separate"/>
      </w:r>
      <w:r>
        <w:t>5.2 评估目标</w:t>
      </w:r>
      <w:r>
        <w:tab/>
      </w:r>
      <w:r>
        <w:fldChar w:fldCharType="begin"/>
      </w:r>
      <w:r>
        <w:instrText xml:space="preserve"> PAGEREF _Toc29425 \h </w:instrText>
      </w:r>
      <w:r>
        <w:fldChar w:fldCharType="separate"/>
      </w:r>
      <w:r>
        <w:t>22</w:t>
      </w:r>
      <w:r>
        <w:fldChar w:fldCharType="end"/>
      </w:r>
      <w:r>
        <w:fldChar w:fldCharType="end"/>
      </w:r>
    </w:p>
    <w:p>
      <w:pPr>
        <w:pStyle w:val="24"/>
        <w:tabs>
          <w:tab w:val="right" w:leader="dot" w:pos="9638"/>
        </w:tabs>
      </w:pPr>
      <w:r>
        <w:fldChar w:fldCharType="begin"/>
      </w:r>
      <w:r>
        <w:instrText xml:space="preserve"> HYPERLINK \l _Toc31229 </w:instrText>
      </w:r>
      <w:r>
        <w:fldChar w:fldCharType="separate"/>
      </w:r>
      <w:r>
        <w:t>5.3 评估范围</w:t>
      </w:r>
      <w:r>
        <w:tab/>
      </w:r>
      <w:r>
        <w:fldChar w:fldCharType="begin"/>
      </w:r>
      <w:r>
        <w:instrText xml:space="preserve"> PAGEREF _Toc31229 \h </w:instrText>
      </w:r>
      <w:r>
        <w:fldChar w:fldCharType="separate"/>
      </w:r>
      <w:r>
        <w:t>22</w:t>
      </w:r>
      <w:r>
        <w:fldChar w:fldCharType="end"/>
      </w:r>
      <w:r>
        <w:fldChar w:fldCharType="end"/>
      </w:r>
    </w:p>
    <w:p>
      <w:pPr>
        <w:pStyle w:val="24"/>
        <w:tabs>
          <w:tab w:val="right" w:leader="dot" w:pos="9638"/>
        </w:tabs>
      </w:pPr>
      <w:r>
        <w:fldChar w:fldCharType="begin"/>
      </w:r>
      <w:r>
        <w:instrText xml:space="preserve"> HYPERLINK \l _Toc10036 </w:instrText>
      </w:r>
      <w:r>
        <w:fldChar w:fldCharType="separate"/>
      </w:r>
      <w:r>
        <w:t>5.4 评估手段</w:t>
      </w:r>
      <w:r>
        <w:tab/>
      </w:r>
      <w:r>
        <w:fldChar w:fldCharType="begin"/>
      </w:r>
      <w:r>
        <w:instrText xml:space="preserve"> PAGEREF _Toc10036 \h </w:instrText>
      </w:r>
      <w:r>
        <w:fldChar w:fldCharType="separate"/>
      </w:r>
      <w:r>
        <w:t>22</w:t>
      </w:r>
      <w:r>
        <w:fldChar w:fldCharType="end"/>
      </w:r>
      <w:r>
        <w:fldChar w:fldCharType="end"/>
      </w:r>
    </w:p>
    <w:p>
      <w:pPr>
        <w:pStyle w:val="24"/>
        <w:tabs>
          <w:tab w:val="right" w:leader="dot" w:pos="9638"/>
        </w:tabs>
      </w:pPr>
      <w:r>
        <w:fldChar w:fldCharType="begin"/>
      </w:r>
      <w:r>
        <w:instrText xml:space="preserve"> HYPERLINK \l _Toc18541 </w:instrText>
      </w:r>
      <w:r>
        <w:fldChar w:fldCharType="separate"/>
      </w:r>
      <w:r>
        <w:t>5.5 安全评级</w:t>
      </w:r>
      <w:r>
        <w:tab/>
      </w:r>
      <w:r>
        <w:fldChar w:fldCharType="begin"/>
      </w:r>
      <w:r>
        <w:instrText xml:space="preserve"> PAGEREF _Toc18541 \h </w:instrText>
      </w:r>
      <w:r>
        <w:fldChar w:fldCharType="separate"/>
      </w:r>
      <w:r>
        <w:t>22</w:t>
      </w:r>
      <w:r>
        <w:fldChar w:fldCharType="end"/>
      </w:r>
      <w:r>
        <w:fldChar w:fldCharType="end"/>
      </w:r>
    </w:p>
    <w:p>
      <w:pPr>
        <w:pStyle w:val="29"/>
        <w:tabs>
          <w:tab w:val="right" w:leader="dot" w:pos="9638"/>
        </w:tabs>
      </w:pPr>
      <w:r>
        <w:fldChar w:fldCharType="begin"/>
      </w:r>
      <w:r>
        <w:instrText xml:space="preserve"> HYPERLINK \l _Toc23127 </w:instrText>
      </w:r>
      <w:r>
        <w:fldChar w:fldCharType="separate"/>
      </w:r>
      <w:r>
        <w:t>附录 · 空状态组件参考</w:t>
      </w:r>
      <w:r>
        <w:tab/>
      </w:r>
      <w:r>
        <w:fldChar w:fldCharType="begin"/>
      </w:r>
      <w:r>
        <w:instrText xml:space="preserve"> PAGEREF _Toc23127 \h </w:instrText>
      </w:r>
      <w:r>
        <w:fldChar w:fldCharType="separate"/>
      </w:r>
      <w:r>
        <w:t>24</w:t>
      </w:r>
      <w:r>
        <w:fldChar w:fldCharType="end"/>
      </w:r>
      <w:r>
        <w:fldChar w:fldCharType="end"/>
      </w:r>
    </w:p>
    <w:p>
      <w:r>
        <w:fldChar w:fldCharType="end"/>
      </w:r>
    </w:p>
    <w:p>
      <w:r>
        <w:br w:type="page"/>
      </w:r>
    </w:p>
    <w:p>
      <w:pPr>
        <w:pStyle w:val="4"/>
      </w:pPr>
      <w:bookmarkStart w:id="0" w:name="_Toc16593"/>
      <w:r>
        <w:t>1. 项目背景</w:t>
      </w:r>
      <w:bookmarkEnd w:id="0"/>
    </w:p>
    <w:p>
      <w:r>
        <w:t>随着信息化与 AI 技术普及，企业业务系统复杂度不断提升，各类隐藏的安全漏洞、配置隐患难以靠日常运维及时发现，极易造成业务中断、数据泄露和经济损失。深信服与协同构建 AI 深度赋能、运营服务辅助、SaaS 敏捷交付、低成本有实效的安全运营体系，为的数智化转型保驾护航。安全体检服务深信服是针对贵公司业务系统的安全状况进行深度安全运营与风险评估，精准定位安全隐患与防护薄弱点，并配套对应的整改方案与落地指导。帮助企业快速完成系统加固，切实提升整体安全防护能力，保障企业核心业务稳定运行。</w:t>
      </w:r>
    </w:p>
    <w:p>
      <w:r>
        <w:t>本次体检共含两项： 威胁运营 与 威胁预防 。威胁运营为深信服通过 XDR 平台、AI 智能数据解析、告警分析研判结合 7*24H 专家快速响应遏制，保障核心资产安全事件的快速闭环；威胁预防为深信服通过内外部安全组件协同，在事前帮助客户发现互联网业务与内网资产的风险。本次体检优先关注脆弱性风险，含暴露面（高危开放端口、敏感信息）、软件漏洞、弱口令等。</w:t>
      </w:r>
    </w:p>
    <w:p>
      <w:r>
        <w:t>以下是在  ~  期间的安全体检报告。</w:t>
      </w:r>
    </w:p>
    <w:p>
      <w:pPr>
        <w:pStyle w:val="4"/>
      </w:pPr>
      <w:bookmarkStart w:id="1" w:name="_Toc27631"/>
      <w:r>
        <w:t>2. 资产台账</w:t>
      </w:r>
      <w:bookmarkEnd w:id="1"/>
    </w:p>
    <w:p>
      <w:r>
        <w:drawing>
          <wp:inline distT="0" distB="0" distL="114300" distR="114300">
            <wp:extent cx="6119495" cy="3059430"/>
            <wp:effectExtent l="0" t="0" r="1460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6120000" cy="3060000"/>
                    </a:xfrm>
                    <a:prstGeom prst="rect">
                      <a:avLst/>
                    </a:prstGeom>
                  </pic:spPr>
                </pic:pic>
              </a:graphicData>
            </a:graphic>
          </wp:inline>
        </w:drawing>
      </w:r>
    </w:p>
    <w:p>
      <w:r>
        <w:t>【资产统计】台账资产 个（已托管 个），核心资产 个（已托管 个）， 7 天内即将退库资产 个</w:t>
      </w:r>
    </w:p>
    <w:p>
      <w:r>
        <w:t>【资产类型分布】服务器 个，终端 个，其他 个</w:t>
      </w:r>
    </w:p>
    <w:p>
      <w:r>
        <w:t>【资产防护统计】在线 个，离线 个，已禁用 个，已降级 个，未防护资产 个</w:t>
      </w:r>
    </w:p>
    <w:p>
      <w:r>
        <w:t>【暴露资产统计】服务器 个，终端 个，其他 个</w:t>
      </w:r>
    </w:p>
    <w:p>
      <w:r>
        <w:t>注：当前暴露资产包含资产台账中内网映射到公网的资产</w:t>
      </w:r>
    </w:p>
    <w:p>
      <w:r>
        <w:t>【托管服务统计】已托管资产 个</w:t>
      </w:r>
    </w:p>
    <w:p>
      <w:r>
        <w:t>资产详情见《资产清单.xlsx》，也可访问 XDR 平台--&gt;资产中心--&gt;资产总览</w:t>
      </w:r>
    </w:p>
    <w:p>
      <w:pPr>
        <w:pStyle w:val="4"/>
      </w:pPr>
      <w:bookmarkStart w:id="2" w:name="_Toc21766"/>
      <w:r>
        <w:t>3. 风险总览</w:t>
      </w:r>
      <w:bookmarkEnd w:id="2"/>
    </w:p>
    <w:p>
      <w:r>
        <w:drawing>
          <wp:inline distT="0" distB="0" distL="114300" distR="114300">
            <wp:extent cx="6119495" cy="6049645"/>
            <wp:effectExtent l="0" t="0" r="14605"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120000" cy="6049874"/>
                    </a:xfrm>
                    <a:prstGeom prst="rect">
                      <a:avLst/>
                    </a:prstGeom>
                  </pic:spPr>
                </pic:pic>
              </a:graphicData>
            </a:graphic>
          </wp:inline>
        </w:drawing>
      </w:r>
    </w:p>
    <w:p>
      <w:r>
        <w:t>安全体检总体评级： 良</w:t>
      </w:r>
    </w:p>
    <w:p>
      <w:r>
        <w:t>本次安全体检中，您的核心业务系统「 OA 系统 、 MES 系统 、 ERP 系统 等」存在 47 个安全风险，其中【 OA 系统 】风险较大，系统下的资产存在 20 个高危及以上的安全风险。</w:t>
      </w:r>
    </w:p>
    <w:p>
      <w:pPr>
        <w:pStyle w:val="5"/>
      </w:pPr>
      <w:bookmarkStart w:id="3" w:name="_Toc28891"/>
      <w:r>
        <w:t>3.1 关键风险如下</w:t>
      </w:r>
      <w:bookmarkEnd w:id="3"/>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9638"/>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PrEx>
        <w:tc>
          <w:tcPr>
            <w:tcW w:w="9638" w:type="dxa"/>
          </w:tcPr>
          <w:p/>
          <w:p>
            <w:r>
              <w:rPr>
                <w:b/>
                <w:color w:val="FFFFFF"/>
                <w:shd w:val="clear" w:color="auto" w:fill="FA721B"/>
              </w:rPr>
              <w:t xml:space="preserve"> 威胁运营 </w:t>
            </w:r>
          </w:p>
          <w:p>
            <w:r>
              <w:rPr>
                <w:rFonts w:eastAsia="微软雅黑"/>
                <w:b/>
                <w:color w:val="000000"/>
                <w:sz w:val="28"/>
              </w:rPr>
              <w:t>企业遭受病毒木马与C2外联事件</w:t>
            </w:r>
          </w:p>
          <w:p>
            <w:r>
              <w:rPr>
                <w:rFonts w:eastAsia="微软雅黑"/>
                <w:b/>
                <w:color w:val="000000"/>
                <w:sz w:val="22"/>
              </w:rPr>
              <w:t>问题描述</w:t>
            </w:r>
          </w:p>
          <w:p>
            <w:r>
              <w:t>贵公司共发生 起病毒木马与C2外联事件（其中 起事件、 起事件），此类事件会造成主机失陷，可能引发员工的财务损失。</w:t>
            </w:r>
          </w:p>
          <w:p>
            <w:r>
              <w:rPr>
                <w:rFonts w:eastAsia="微软雅黑"/>
                <w:b/>
                <w:color w:val="000000"/>
                <w:sz w:val="22"/>
              </w:rPr>
              <w:t>风险影响</w:t>
            </w:r>
          </w:p>
          <w:p>
            <w:r>
              <w:t>资产（如)遭受病毒攻击，员工主机失陷，攻击者还可以此为跳板横向渗透，威胁核心业务服务器安全。</w:t>
            </w:r>
          </w:p>
          <w:p>
            <w:r>
              <w:rPr>
                <w:rFonts w:eastAsia="微软雅黑"/>
                <w:b/>
                <w:color w:val="000000"/>
                <w:sz w:val="22"/>
              </w:rPr>
              <w:t>安全加固策略</w:t>
            </w:r>
          </w:p>
          <w:p>
            <w:r>
              <w:rPr>
                <w:b/>
              </w:rPr>
              <w:t>1 网络防护</w:t>
            </w:r>
          </w:p>
          <w:p>
            <w:pPr>
              <w:pStyle w:val="16"/>
            </w:pPr>
            <w:r>
              <w:t>开启防火墙云情报网关订阅，并更新到最新的情报库</w:t>
            </w:r>
          </w:p>
          <w:p>
            <w:pPr>
              <w:pStyle w:val="16"/>
            </w:pPr>
            <w:r>
              <w:t>开启SIP的云端情报检测</w:t>
            </w:r>
          </w:p>
          <w:p>
            <w:r>
              <w:rPr>
                <w:b/>
              </w:rPr>
              <w:t>2 终端防护</w:t>
            </w:r>
          </w:p>
          <w:p>
            <w:pPr>
              <w:pStyle w:val="16"/>
            </w:pPr>
            <w:r>
              <w:t>推动资产安装aES并开启杀毒模块，并更新到最新版本的病毒库</w:t>
            </w:r>
          </w:p>
          <w:p>
            <w:r>
              <w:rPr>
                <w:b/>
              </w:rPr>
              <w:t>3 主机根除</w:t>
            </w:r>
          </w:p>
          <w:p>
            <w:pPr>
              <w:pStyle w:val="16"/>
            </w:pPr>
            <w:r>
              <w:t>完善主机定位方案，提供资产清单，通过导入资产清单到MSS平台，安全事件可直接定位到资产归属责任人</w:t>
            </w:r>
          </w:p>
          <w:p>
            <w:pPr>
              <w:pStyle w:val="16"/>
            </w:pPr>
            <w:r>
              <w:t>监测到高危事件时，可及时协调主机环境，便于安全专家远程清理、彻底根除恶意程序</w:t>
            </w:r>
          </w:p>
          <w:p>
            <w:r>
              <w:rPr>
                <w:rFonts w:eastAsia="微软雅黑"/>
                <w:b/>
                <w:color w:val="000000"/>
                <w:sz w:val="22"/>
              </w:rPr>
              <w:t>落地情况与建议</w:t>
            </w:r>
          </w:p>
          <w:p>
            <w:r>
              <w:rPr>
                <w:b/>
              </w:rPr>
              <w:t>1 网络防护</w:t>
            </w:r>
          </w:p>
          <w:p>
            <w:pPr>
              <w:pStyle w:val="16"/>
            </w:pPr>
            <w:r>
              <w:t>您的防火墙目前已开通云情报网关</w:t>
            </w:r>
          </w:p>
          <w:p>
            <w:pPr>
              <w:pStyle w:val="16"/>
            </w:pPr>
            <w:r>
              <w:t>您的SIP目前已开启云端情报检测</w:t>
            </w:r>
          </w:p>
          <w:p>
            <w:pPr>
              <w:pStyle w:val="16"/>
            </w:pPr>
            <w:r>
              <w:t>深信服会定期进行安全设备策略检查，保障您的情报网关订阅时刻处于最新有效状态</w:t>
            </w:r>
          </w:p>
          <w:p>
            <w:r>
              <w:rPr>
                <w:b/>
              </w:rPr>
              <w:t>2 终端防护</w:t>
            </w:r>
          </w:p>
          <w:p>
            <w:pPr>
              <w:pStyle w:val="16"/>
            </w:pPr>
            <w:r>
              <w:t>您目前、仍未安装aES，请尽快安装</w:t>
            </w:r>
          </w:p>
          <w:p>
            <w:pPr>
              <w:pStyle w:val="16"/>
            </w:pPr>
            <w:r>
              <w:t>深信服会定期进行安全设备策略检查，保障您的aES开启、病毒库处于最新状态</w:t>
            </w:r>
          </w:p>
          <w:p>
            <w:r>
              <w:rPr>
                <w:b/>
              </w:rPr>
              <w:t>3 主机根除</w:t>
            </w:r>
          </w:p>
          <w:p>
            <w:pPr>
              <w:pStyle w:val="16"/>
            </w:pPr>
            <w:r>
              <w:t>目前仍有资产：、尚未标注归属责任人信息，请尽快标注</w:t>
            </w:r>
          </w:p>
          <w:p>
            <w:pPr>
              <w:pStyle w:val="16"/>
            </w:pPr>
            <w:r>
              <w:t>监测到高危事件时，深信服云端专家会第一时间与您沟通，您只需协调主机环境即可</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8" w:type="dxa"/>
          </w:tcPr>
          <w:p/>
          <w:p>
            <w:r>
              <w:rPr>
                <w:b/>
                <w:color w:val="FFFFFF"/>
                <w:shd w:val="clear" w:color="auto" w:fill="FA721B"/>
              </w:rPr>
              <w:t xml:space="preserve"> 威胁运营 </w:t>
            </w:r>
          </w:p>
          <w:p>
            <w:r>
              <w:rPr>
                <w:rFonts w:eastAsia="微软雅黑"/>
                <w:b/>
                <w:color w:val="000000"/>
                <w:sz w:val="28"/>
              </w:rPr>
              <w:t>企业遭受网站攻击与漏洞攻击事件</w:t>
            </w:r>
          </w:p>
          <w:p>
            <w:r>
              <w:rPr>
                <w:rFonts w:eastAsia="微软雅黑"/>
                <w:b/>
                <w:color w:val="000000"/>
                <w:sz w:val="22"/>
              </w:rPr>
              <w:t>问题描述</w:t>
            </w:r>
          </w:p>
          <w:p>
            <w:r>
              <w:t>当前贵公司累计发生 起网站攻击与漏洞攻击，其中 起攻击成功</w:t>
            </w:r>
          </w:p>
          <w:p>
            <w:r>
              <w:rPr>
                <w:rFonts w:eastAsia="微软雅黑"/>
                <w:b/>
                <w:color w:val="000000"/>
                <w:sz w:val="22"/>
              </w:rPr>
              <w:t>风险影响</w:t>
            </w:r>
          </w:p>
          <w:p>
            <w:r>
              <w:t>资产（如)存在高危漏洞一旦被攻击者利用，主机会成为跳板，对其他核心系统进行横向攻击，可能产生业务中断、数据泄露等风险。</w:t>
            </w:r>
          </w:p>
          <w:p>
            <w:r>
              <w:rPr>
                <w:rFonts w:eastAsia="微软雅黑"/>
                <w:b/>
                <w:color w:val="000000"/>
                <w:sz w:val="22"/>
              </w:rPr>
              <w:t>安全加固策略</w:t>
            </w:r>
          </w:p>
          <w:p>
            <w:r>
              <w:rPr>
                <w:b/>
              </w:rPr>
              <w:t>1 漏洞修复</w:t>
            </w:r>
          </w:p>
          <w:p>
            <w:pPr>
              <w:pStyle w:val="16"/>
            </w:pPr>
            <w:r>
              <w:t>按照业务核心程度、是否对外、漏洞等级、修复难度等对齐修复方案与落地计划</w:t>
            </w:r>
          </w:p>
          <w:p>
            <w:r>
              <w:rPr>
                <w:b/>
              </w:rPr>
              <w:t>2 安全防护</w:t>
            </w:r>
          </w:p>
          <w:p>
            <w:pPr>
              <w:pStyle w:val="16"/>
            </w:pPr>
            <w:r>
              <w:t>开启防火墙策略防护</w:t>
            </w:r>
          </w:p>
          <w:p>
            <w:r>
              <w:rPr>
                <w:b/>
              </w:rPr>
              <w:t>3 访问控制</w:t>
            </w:r>
          </w:p>
          <w:p>
            <w:pPr>
              <w:pStyle w:val="16"/>
            </w:pPr>
            <w:r>
              <w:t>在防火墙上开启ACL策略，仅允许/禁止特定资产访问</w:t>
            </w:r>
          </w:p>
          <w:p>
            <w:r>
              <w:rPr>
                <w:b/>
              </w:rPr>
              <w:t>4 暴露面收敛</w:t>
            </w:r>
          </w:p>
          <w:p>
            <w:pPr>
              <w:pStyle w:val="16"/>
            </w:pPr>
            <w:r>
              <w:t>根据业务重要性，将非重要服务尽快下线，关闭暴露面</w:t>
            </w:r>
          </w:p>
          <w:p>
            <w:r>
              <w:rPr>
                <w:rFonts w:eastAsia="微软雅黑"/>
                <w:b/>
                <w:color w:val="000000"/>
                <w:sz w:val="22"/>
              </w:rPr>
              <w:t>落地情况与建议</w:t>
            </w:r>
          </w:p>
          <w:p>
            <w:r>
              <w:rPr>
                <w:b/>
              </w:rPr>
              <w:t>1 漏洞修复</w:t>
            </w:r>
          </w:p>
          <w:p>
            <w:pPr>
              <w:pStyle w:val="16"/>
            </w:pPr>
            <w:r>
              <w:t>漏洞清单与修复方案确定修复优先级，详情参考《漏洞清单.xlsx》。</w:t>
            </w:r>
          </w:p>
          <w:p>
            <w:pPr>
              <w:pStyle w:val="16"/>
            </w:pPr>
            <w:r>
              <w:t>根据修复落地漏洞清单，对齐修复方案和落地计划</w:t>
            </w:r>
          </w:p>
          <w:p>
            <w:pPr>
              <w:pStyle w:val="16"/>
            </w:pPr>
            <w:r>
              <w:t>按照方案落地修复，反馈给MSS团队进行漏洞复测闭环</w:t>
            </w:r>
          </w:p>
          <w:p>
            <w:pPr>
              <w:pStyle w:val="16"/>
            </w:pPr>
            <w:r>
              <w:t>深信服会定期进行漏洞扫描，保障持续发现最新漏洞风险</w:t>
            </w:r>
          </w:p>
          <w:p>
            <w:r>
              <w:rPr>
                <w:b/>
              </w:rPr>
              <w:t>2 安全防护</w:t>
            </w:r>
          </w:p>
          <w:p>
            <w:pPr>
              <w:pStyle w:val="16"/>
            </w:pPr>
            <w:r>
              <w:t>您已开启防火墙策略防护</w:t>
            </w:r>
          </w:p>
          <w:p>
            <w:r>
              <w:rPr>
                <w:b/>
              </w:rPr>
              <w:t>3 访问控制</w:t>
            </w:r>
          </w:p>
          <w:p>
            <w:pPr>
              <w:pStyle w:val="16"/>
            </w:pPr>
            <w:r>
              <w:t>根据您的实际需求，在防火墙上开启ACL策略，仅允许/禁止特定资产访问</w:t>
            </w:r>
          </w:p>
          <w:p>
            <w:r>
              <w:rPr>
                <w:b/>
              </w:rPr>
              <w:t>4 暴露面收敛</w:t>
            </w:r>
          </w:p>
          <w:p>
            <w:pPr>
              <w:pStyle w:val="16"/>
            </w:pPr>
            <w:r>
              <w:t>经监测分析，您的资产203.0.113.45、198.51.100.22单日安全告警日志超 500 条，疑似频繁被攻击，请评估影响酌情下线</w:t>
            </w:r>
          </w:p>
          <w:p>
            <w:pPr>
              <w:pStyle w:val="16"/>
            </w:pPr>
            <w:r>
              <w:t>深信服会定期进行暴露面扫描，保障持续发现最新风险暴露面</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8" w:type="dxa"/>
          </w:tcPr>
          <w:p/>
          <w:p>
            <w:r>
              <w:rPr>
                <w:b/>
                <w:color w:val="FFFFFF"/>
                <w:shd w:val="clear" w:color="auto" w:fill="1C6EFF"/>
              </w:rPr>
              <w:t xml:space="preserve"> 威胁预防 </w:t>
            </w:r>
          </w:p>
          <w:p>
            <w:r>
              <w:rPr>
                <w:rFonts w:eastAsia="微软雅黑"/>
                <w:b/>
                <w:color w:val="000000"/>
                <w:sz w:val="28"/>
              </w:rPr>
              <w:t>内外部业务存在高危及以上漏洞</w:t>
            </w:r>
          </w:p>
          <w:p>
            <w:r>
              <w:rPr>
                <w:rFonts w:eastAsia="微软雅黑"/>
                <w:b/>
                <w:color w:val="000000"/>
                <w:sz w:val="22"/>
              </w:rPr>
              <w:t>问题描述</w:t>
            </w:r>
          </w:p>
          <w:p>
            <w:r>
              <w:t>当前贵公司内外部业务 共发现 个高危及以上漏洞</w:t>
            </w:r>
          </w:p>
          <w:p>
            <w:r>
              <w:rPr>
                <w:rFonts w:eastAsia="微软雅黑"/>
                <w:b/>
                <w:color w:val="000000"/>
                <w:sz w:val="22"/>
              </w:rPr>
              <w:t>风险影响</w:t>
            </w:r>
          </w:p>
          <w:p>
            <w:r>
              <w:t>可能被攻击者利用形成跳板，对核心系统横向攻击。</w:t>
            </w:r>
          </w:p>
          <w:p>
            <w:r>
              <w:rPr>
                <w:rFonts w:eastAsia="微软雅黑"/>
                <w:b/>
                <w:color w:val="000000"/>
                <w:sz w:val="22"/>
              </w:rPr>
              <w:t>安全加固策略</w:t>
            </w:r>
          </w:p>
          <w:p>
            <w:r>
              <w:rPr>
                <w:b/>
              </w:rPr>
              <w:t>1 漏洞修复</w:t>
            </w:r>
          </w:p>
          <w:p>
            <w:pPr>
              <w:pStyle w:val="16"/>
            </w:pPr>
            <w:r>
              <w:t>按照业务核心程度、是否对外、漏洞等级、修复难度等对齐修复方案与落地计划</w:t>
            </w:r>
          </w:p>
          <w:p>
            <w:r>
              <w:rPr>
                <w:b/>
              </w:rPr>
              <w:t>2 安全防护</w:t>
            </w:r>
          </w:p>
          <w:p>
            <w:pPr>
              <w:pStyle w:val="16"/>
            </w:pPr>
            <w:r>
              <w:t>开启防火墙策略防护</w:t>
            </w:r>
          </w:p>
          <w:p>
            <w:r>
              <w:rPr>
                <w:b/>
              </w:rPr>
              <w:t>3 访问控制</w:t>
            </w:r>
          </w:p>
          <w:p>
            <w:pPr>
              <w:pStyle w:val="16"/>
            </w:pPr>
            <w:r>
              <w:t>在防火墙上开启ACL策略，仅允许/禁止特定资产访问</w:t>
            </w:r>
          </w:p>
          <w:p>
            <w:r>
              <w:rPr>
                <w:b/>
              </w:rPr>
              <w:t>4 暴露面收敛</w:t>
            </w:r>
          </w:p>
          <w:p>
            <w:pPr>
              <w:pStyle w:val="16"/>
            </w:pPr>
            <w:r>
              <w:t>根据业务重要性，将非重要服务尽快下线，关闭暴露面</w:t>
            </w:r>
          </w:p>
          <w:p>
            <w:r>
              <w:rPr>
                <w:rFonts w:eastAsia="微软雅黑"/>
                <w:b/>
                <w:color w:val="000000"/>
                <w:sz w:val="22"/>
              </w:rPr>
              <w:t>落地情况与建议</w:t>
            </w:r>
          </w:p>
          <w:p>
            <w:r>
              <w:rPr>
                <w:b/>
              </w:rPr>
              <w:t>1 漏洞修复</w:t>
            </w:r>
          </w:p>
          <w:p>
            <w:pPr>
              <w:pStyle w:val="16"/>
            </w:pPr>
            <w:r>
              <w:t>漏洞清单与修复方案确定修复优先级，详情参考《漏洞清单.xlsx》。</w:t>
            </w:r>
          </w:p>
          <w:p>
            <w:pPr>
              <w:pStyle w:val="16"/>
            </w:pPr>
            <w:r>
              <w:t>根据修复落地漏洞清单，对齐修复方案和落地计划</w:t>
            </w:r>
          </w:p>
          <w:p>
            <w:pPr>
              <w:pStyle w:val="16"/>
            </w:pPr>
            <w:r>
              <w:t>按照方案落地修复，反馈给MSS团队进行漏洞复测闭环</w:t>
            </w:r>
          </w:p>
          <w:p>
            <w:pPr>
              <w:pStyle w:val="16"/>
            </w:pPr>
            <w:r>
              <w:t>深信服会定期进行漏洞扫描，保障持续发现最新漏洞风险</w:t>
            </w:r>
          </w:p>
          <w:p>
            <w:r>
              <w:rPr>
                <w:b/>
              </w:rPr>
              <w:t>2 安全防护</w:t>
            </w:r>
          </w:p>
          <w:p>
            <w:pPr>
              <w:pStyle w:val="16"/>
            </w:pPr>
            <w:r>
              <w:t>您已开启防火墙策略防护</w:t>
            </w:r>
          </w:p>
          <w:p>
            <w:r>
              <w:rPr>
                <w:b/>
              </w:rPr>
              <w:t>3 访问控制</w:t>
            </w:r>
          </w:p>
          <w:p>
            <w:pPr>
              <w:pStyle w:val="16"/>
            </w:pPr>
            <w:r>
              <w:t>根据您的实际需求，在防火墙上开启ACL策略，仅允许/禁止特定资产访问</w:t>
            </w:r>
          </w:p>
          <w:p>
            <w:r>
              <w:rPr>
                <w:b/>
              </w:rPr>
              <w:t>4 暴露面收敛</w:t>
            </w:r>
          </w:p>
          <w:p>
            <w:pPr>
              <w:pStyle w:val="16"/>
            </w:pPr>
            <w:r>
              <w:t>经监测分析，您的资产1.1.1.1、2.2.2.2单日安全告警日志超 500 条，疑似频繁被攻击，请评估影响酌情下线</w:t>
            </w:r>
          </w:p>
          <w:p>
            <w:pPr>
              <w:pStyle w:val="16"/>
            </w:pPr>
            <w:r>
              <w:t>深信服会定期进行暴露面扫描，保障持续发现最新风险暴露面</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8" w:type="dxa"/>
          </w:tcPr>
          <w:p/>
          <w:p>
            <w:r>
              <w:rPr>
                <w:b/>
                <w:color w:val="FFFFFF"/>
                <w:shd w:val="clear" w:color="auto" w:fill="1C6EFF"/>
              </w:rPr>
              <w:t xml:space="preserve"> 威胁预防 </w:t>
            </w:r>
          </w:p>
          <w:p>
            <w:r>
              <w:rPr>
                <w:rFonts w:eastAsia="微软雅黑"/>
                <w:b/>
                <w:color w:val="000000"/>
                <w:sz w:val="28"/>
              </w:rPr>
              <w:t>内外部业务存在大量弱口令</w:t>
            </w:r>
          </w:p>
          <w:p>
            <w:r>
              <w:rPr>
                <w:rFonts w:eastAsia="微软雅黑"/>
                <w:b/>
                <w:color w:val="000000"/>
                <w:sz w:val="22"/>
              </w:rPr>
              <w:t>问题描述</w:t>
            </w:r>
          </w:p>
          <w:p>
            <w:r>
              <w:t>当前贵公司内外部业务 共发现 个弱口令</w:t>
            </w:r>
          </w:p>
          <w:p>
            <w:r>
              <w:rPr>
                <w:rFonts w:eastAsia="微软雅黑"/>
                <w:b/>
                <w:color w:val="000000"/>
                <w:sz w:val="22"/>
              </w:rPr>
              <w:t>风险影响</w:t>
            </w:r>
          </w:p>
          <w:p>
            <w:r>
              <w:t>资产（如）存在弱口令，黑客可利用暴力破解等手段轻易获取主机权限，引发一系列严重安全事故</w:t>
            </w:r>
          </w:p>
          <w:p>
            <w:r>
              <w:rPr>
                <w:rFonts w:eastAsia="微软雅黑"/>
                <w:b/>
                <w:color w:val="000000"/>
                <w:sz w:val="22"/>
              </w:rPr>
              <w:t>安全加固策略</w:t>
            </w:r>
          </w:p>
          <w:p>
            <w:r>
              <w:rPr>
                <w:b/>
              </w:rPr>
              <w:t>1 修改弱口令</w:t>
            </w:r>
          </w:p>
          <w:p>
            <w:pPr>
              <w:pStyle w:val="16"/>
            </w:pPr>
            <w:r>
              <w:t>基于业务核心程度、是否对外、影响程度等因素评估，修改为合规强口令（大小写字母、数字与符号组合，长度不小于 16 位）</w:t>
            </w:r>
          </w:p>
          <w:p>
            <w:pPr>
              <w:pStyle w:val="16"/>
            </w:pPr>
            <w:r>
              <w:t>重要业务可进行多因素认证，如短信、TOTP令牌等</w:t>
            </w:r>
          </w:p>
          <w:p>
            <w:r>
              <w:rPr>
                <w:b/>
              </w:rPr>
              <w:t>2 访问控制</w:t>
            </w:r>
          </w:p>
          <w:p>
            <w:pPr>
              <w:pStyle w:val="16"/>
            </w:pPr>
            <w:r>
              <w:t>在防火墙上开启ACL策略，仅允许/禁止特定资产访问</w:t>
            </w:r>
          </w:p>
          <w:p>
            <w:r>
              <w:rPr>
                <w:rFonts w:eastAsia="微软雅黑"/>
                <w:b/>
                <w:color w:val="000000"/>
                <w:sz w:val="22"/>
              </w:rPr>
              <w:t>落地情况与建议</w:t>
            </w:r>
          </w:p>
          <w:p>
            <w:r>
              <w:rPr>
                <w:b/>
              </w:rPr>
              <w:t>1 修改弱口令</w:t>
            </w:r>
          </w:p>
          <w:p>
            <w:pPr>
              <w:pStyle w:val="16"/>
            </w:pPr>
            <w:r>
              <w:t>建议优先修改资产：的弱口令，并添加多因素认证。完整弱口令明细参考《弱口令清单.xlsx》</w:t>
            </w:r>
          </w:p>
          <w:p>
            <w:pPr>
              <w:pStyle w:val="16"/>
            </w:pPr>
            <w:r>
              <w:t>深信服会定期进行弱口令扫描，保障持续发现最新弱口令风险</w:t>
            </w:r>
          </w:p>
          <w:p>
            <w:r>
              <w:rPr>
                <w:b/>
              </w:rPr>
              <w:t>2 访问控制</w:t>
            </w:r>
          </w:p>
          <w:p>
            <w:pPr>
              <w:pStyle w:val="16"/>
            </w:pPr>
            <w:r>
              <w:t>根据您的实际需求，在防火墙上开启ACL策略，仅允许/禁止特定资产访问</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8" w:type="dxa"/>
          </w:tcPr>
          <w:p/>
          <w:p>
            <w:r>
              <w:rPr>
                <w:b/>
                <w:color w:val="FFFFFF"/>
                <w:shd w:val="clear" w:color="auto" w:fill="1C6EFF"/>
              </w:rPr>
              <w:t xml:space="preserve"> 威胁预防 </w:t>
            </w:r>
          </w:p>
          <w:p>
            <w:r>
              <w:rPr>
                <w:rFonts w:eastAsia="微软雅黑"/>
                <w:b/>
                <w:color w:val="000000"/>
                <w:sz w:val="28"/>
              </w:rPr>
              <w:t>互联网业务存在大量风险暴露面</w:t>
            </w:r>
          </w:p>
          <w:p>
            <w:r>
              <w:rPr>
                <w:rFonts w:eastAsia="微软雅黑"/>
                <w:b/>
                <w:color w:val="000000"/>
                <w:sz w:val="22"/>
              </w:rPr>
              <w:t>问题描述</w:t>
            </w:r>
          </w:p>
          <w:p>
            <w:r>
              <w:t>当前贵公司互联网业务共发现 个风险暴露面。包含 个Web服务与 个非Web服务（如等）</w:t>
            </w:r>
          </w:p>
          <w:p>
            <w:r>
              <w:rPr>
                <w:rFonts w:eastAsia="微软雅黑"/>
                <w:b/>
                <w:color w:val="000000"/>
                <w:sz w:val="22"/>
              </w:rPr>
              <w:t>风险影响</w:t>
            </w:r>
          </w:p>
          <w:p>
            <w:r>
              <w:t>服务直接暴露在公网（如），极易被黑客扫描探测，作为入侵突破口发起攻击。</w:t>
            </w:r>
          </w:p>
          <w:p>
            <w:r>
              <w:rPr>
                <w:rFonts w:eastAsia="微软雅黑"/>
                <w:b/>
                <w:color w:val="000000"/>
                <w:sz w:val="22"/>
              </w:rPr>
              <w:t>安全加固策略</w:t>
            </w:r>
          </w:p>
          <w:p>
            <w:r>
              <w:rPr>
                <w:b/>
              </w:rPr>
              <w:t>1 暴露面收敛</w:t>
            </w:r>
          </w:p>
          <w:p>
            <w:pPr>
              <w:pStyle w:val="16"/>
            </w:pPr>
            <w:r>
              <w:t>基于业务核心程度、是否对外、关闭影响等因素评估，关闭相关服务。</w:t>
            </w:r>
          </w:p>
          <w:p>
            <w:r>
              <w:rPr>
                <w:b/>
              </w:rPr>
              <w:t>2 访问控制</w:t>
            </w:r>
          </w:p>
          <w:p>
            <w:pPr>
              <w:pStyle w:val="16"/>
            </w:pPr>
            <w:r>
              <w:t>在防火墙上开启ACL策略。</w:t>
            </w:r>
          </w:p>
          <w:p>
            <w:r>
              <w:rPr>
                <w:rFonts w:eastAsia="微软雅黑"/>
                <w:b/>
                <w:color w:val="000000"/>
                <w:sz w:val="22"/>
              </w:rPr>
              <w:t>落地情况与建议</w:t>
            </w:r>
          </w:p>
          <w:p>
            <w:r>
              <w:rPr>
                <w:b/>
              </w:rPr>
              <w:t>1 暴露面收敛</w:t>
            </w:r>
          </w:p>
          <w:p>
            <w:pPr>
              <w:pStyle w:val="16"/>
            </w:pPr>
            <w:r>
              <w:t>基于业务核心程度、是否对外、关闭影响等因素评估，关闭相关服务。完整暴露面明细参考《暴露面清单.xlsx》</w:t>
            </w:r>
          </w:p>
          <w:p>
            <w:pPr>
              <w:pStyle w:val="16"/>
            </w:pPr>
            <w:r>
              <w:t>深信服会定期进行暴露面扫描，保障持续发现最新风险暴露面</w:t>
            </w:r>
          </w:p>
          <w:p>
            <w:r>
              <w:rPr>
                <w:b/>
              </w:rPr>
              <w:t>2 访问控制</w:t>
            </w:r>
          </w:p>
          <w:p>
            <w:pPr>
              <w:pStyle w:val="16"/>
            </w:pPr>
            <w:r>
              <w:t>在防火墙上开启ACL策略，允许/禁止特定资产访问</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8" w:type="dxa"/>
          </w:tcPr>
          <w:p/>
          <w:p>
            <w:r>
              <w:rPr>
                <w:b/>
                <w:color w:val="FFFFFF"/>
                <w:shd w:val="clear" w:color="auto" w:fill="12A679"/>
              </w:rPr>
              <w:t xml:space="preserve"> 防护有效性 </w:t>
            </w:r>
          </w:p>
          <w:p>
            <w:r>
              <w:rPr>
                <w:rFonts w:eastAsia="微软雅黑"/>
                <w:b/>
                <w:color w:val="000000"/>
                <w:sz w:val="28"/>
              </w:rPr>
              <w:t>核心资产与安全组件存在安全防护能力不足</w:t>
            </w:r>
          </w:p>
          <w:p>
            <w:r>
              <w:rPr>
                <w:rFonts w:eastAsia="微软雅黑"/>
                <w:b/>
                <w:color w:val="000000"/>
                <w:sz w:val="22"/>
              </w:rPr>
              <w:t>问题描述</w:t>
            </w:r>
          </w:p>
          <w:p>
            <w:r>
              <w:t>核心资产中存在 3 个资产尚未安装aES 发现安全组件策略配置存在异常 3 个</w:t>
            </w:r>
          </w:p>
          <w:p>
            <w:r>
              <w:rPr>
                <w:rFonts w:eastAsia="微软雅黑"/>
                <w:b/>
                <w:color w:val="000000"/>
                <w:sz w:val="22"/>
              </w:rPr>
              <w:t>风险影响</w:t>
            </w:r>
          </w:p>
          <w:p>
            <w:r>
              <w:t>核心资产防护能力不足，一旦遭受安全攻击，对应业务可能产生中断、数据泄露的严重后果。</w:t>
            </w:r>
          </w:p>
          <w:p>
            <w:r>
              <w:rPr>
                <w:rFonts w:eastAsia="微软雅黑"/>
                <w:b/>
                <w:color w:val="000000"/>
                <w:sz w:val="22"/>
              </w:rPr>
              <w:t>安全加固策略</w:t>
            </w:r>
          </w:p>
          <w:p>
            <w:r>
              <w:rPr>
                <w:b/>
              </w:rPr>
              <w:t>1 终端防护</w:t>
            </w:r>
          </w:p>
          <w:p>
            <w:pPr>
              <w:pStyle w:val="16"/>
            </w:pPr>
            <w:r>
              <w:t>推动资产安装aES并开启杀毒模块，并更新到最新版本的病毒库</w:t>
            </w:r>
          </w:p>
          <w:p>
            <w:r>
              <w:rPr>
                <w:b/>
              </w:rPr>
              <w:t>2 安全策略优化</w:t>
            </w:r>
          </w:p>
          <w:p>
            <w:pPr>
              <w:pStyle w:val="16"/>
            </w:pPr>
            <w:r>
              <w:t>基于安全策略检查的结果，逐步优化安全组件的策略配置</w:t>
            </w:r>
          </w:p>
          <w:p>
            <w:r>
              <w:rPr>
                <w:rFonts w:eastAsia="微软雅黑"/>
                <w:b/>
                <w:color w:val="000000"/>
                <w:sz w:val="22"/>
              </w:rPr>
              <w:t>落地情况与建议</w:t>
            </w:r>
          </w:p>
          <w:p>
            <w:r>
              <w:rPr>
                <w:b/>
              </w:rPr>
              <w:t>1 终端防护</w:t>
            </w:r>
          </w:p>
          <w:p>
            <w:pPr>
              <w:pStyle w:val="16"/>
            </w:pPr>
            <w:r>
              <w:t>您目前10.246.152.197、10.246.152.199仍未安装aES，请尽快安装</w:t>
            </w:r>
          </w:p>
          <w:p>
            <w:pPr>
              <w:pStyle w:val="16"/>
            </w:pPr>
            <w:r>
              <w:t>深信服会定期进行安全设备策略检查，保障您的aES开启、病毒库处于最新状态</w:t>
            </w:r>
          </w:p>
          <w:p>
            <w:r>
              <w:rPr>
                <w:b/>
              </w:rPr>
              <w:t>2 安全策略优化</w:t>
            </w:r>
          </w:p>
          <w:p>
            <w:pPr>
              <w:pStyle w:val="16"/>
            </w:pPr>
            <w:r>
              <w:t>基于安全策略检查的结果，逐步优化安全组件的策略配置，详情可参考《策略检查清单.xlsx》</w:t>
            </w:r>
          </w:p>
          <w:p>
            <w:pPr>
              <w:pStyle w:val="16"/>
            </w:pPr>
            <w:r>
              <w:t>深信服会定期进行安全策略检查，保障持续发现安全组件策略配置异常</w:t>
            </w:r>
          </w:p>
        </w:tc>
      </w:tr>
    </w:tbl>
    <w:p>
      <w:pPr>
        <w:pStyle w:val="5"/>
      </w:pPr>
      <w:bookmarkStart w:id="4" w:name="_Toc5317"/>
      <w:r>
        <w:t>3.2 风险资产 TOP5</w:t>
      </w:r>
      <w:bookmarkEnd w:id="4"/>
    </w:p>
    <w:p>
      <w:r>
        <w:drawing>
          <wp:inline distT="0" distB="0" distL="114300" distR="114300">
            <wp:extent cx="6119495" cy="3137535"/>
            <wp:effectExtent l="0" t="0" r="14605"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120000" cy="3137916"/>
                    </a:xfrm>
                    <a:prstGeom prst="rect">
                      <a:avLst/>
                    </a:prstGeom>
                  </pic:spPr>
                </pic:pic>
              </a:graphicData>
            </a:graphic>
          </wp:inline>
        </w:drawing>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3213"/>
        <w:gridCol w:w="3213"/>
        <w:gridCol w:w="3213"/>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风险资产</w:t>
            </w:r>
          </w:p>
        </w:tc>
        <w:tc>
          <w:tcPr>
            <w:tcW w:w="3213" w:type="dxa"/>
          </w:tcPr>
          <w:p>
            <w:r>
              <w:t>风险数</w:t>
            </w:r>
          </w:p>
        </w:tc>
        <w:tc>
          <w:tcPr>
            <w:tcW w:w="3213" w:type="dxa"/>
          </w:tcPr>
          <w:p>
            <w:r>
              <w:t>风险详情</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203.0.113.45 已托管 OA 系统</w:t>
            </w:r>
          </w:p>
        </w:tc>
        <w:tc>
          <w:tcPr>
            <w:tcW w:w="3213" w:type="dxa"/>
          </w:tcPr>
          <w:p>
            <w:r>
              <w:t>70</w:t>
            </w:r>
          </w:p>
        </w:tc>
        <w:tc>
          <w:tcPr>
            <w:tcW w:w="3213" w:type="dxa"/>
          </w:tcPr>
          <w:p>
            <w:r>
              <w:t>总计安全事件 10 个，其中，病毒木马&amp;C2外联 2 起，网站攻击&amp;漏洞攻击 3 起，其他事件 6 起 该资产共发现在 10 个高危及以上漏洞 该资产共发现 20 个弱口令 该资产共发现 30 个风险暴露面。含 20 个非Web服务（如SSH、RDP等）与 10 个Web服务（如nginx、apache） 该资产尚未安装aES</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198.51.100.22 已托管 Web 门户</w:t>
            </w:r>
          </w:p>
        </w:tc>
        <w:tc>
          <w:tcPr>
            <w:tcW w:w="3213" w:type="dxa"/>
          </w:tcPr>
          <w:p>
            <w:r>
              <w:t>56</w:t>
            </w:r>
          </w:p>
        </w:tc>
        <w:tc>
          <w:tcPr>
            <w:tcW w:w="3213" w:type="dxa"/>
          </w:tcPr>
          <w:p>
            <w:r>
              <w:t>总计安全事件 6 个，其中，网站攻击&amp;漏洞攻击 3 起，其他事件 3 起 该资产共发现在 10 个高危及以上漏洞 该资产共发现 20 个弱口令 该资产共发现 20 个风险暴露面。含 20 个非Web服务（如SSH、RDP等） 该资产尚未安装aES</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10.0.1.25 已托管 邮件系统</w:t>
            </w:r>
          </w:p>
        </w:tc>
        <w:tc>
          <w:tcPr>
            <w:tcW w:w="3213" w:type="dxa"/>
          </w:tcPr>
          <w:p>
            <w:r>
              <w:t>57</w:t>
            </w:r>
          </w:p>
        </w:tc>
        <w:tc>
          <w:tcPr>
            <w:tcW w:w="3213" w:type="dxa"/>
          </w:tcPr>
          <w:p>
            <w:r>
              <w:t>总计安全事件 6 个 该资产共发现在 11 个高危及以上漏洞 该资产共发现 20 个弱口令 该资产共发现 20 个风险暴露面。含 20 个Web服务（如nginx、apache） 该资产尚未安装aES</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10.0.3.12 已托管 OA 系统</w:t>
            </w:r>
          </w:p>
        </w:tc>
        <w:tc>
          <w:tcPr>
            <w:tcW w:w="3213" w:type="dxa"/>
          </w:tcPr>
          <w:p>
            <w:r>
              <w:t>30</w:t>
            </w:r>
          </w:p>
        </w:tc>
        <w:tc>
          <w:tcPr>
            <w:tcW w:w="3213" w:type="dxa"/>
          </w:tcPr>
          <w:p>
            <w:r>
              <w:t>该资产共发现在 10 个高危及以上漏洞 该资产共发现 20 个弱口令</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172.16.5.88 未托管 ERP 系统</w:t>
            </w:r>
          </w:p>
        </w:tc>
        <w:tc>
          <w:tcPr>
            <w:tcW w:w="3213" w:type="dxa"/>
          </w:tcPr>
          <w:p>
            <w:r>
              <w:t>2</w:t>
            </w:r>
          </w:p>
        </w:tc>
        <w:tc>
          <w:tcPr>
            <w:tcW w:w="3213" w:type="dxa"/>
          </w:tcPr>
          <w:p>
            <w:r>
              <w:t>该资产共发现在 2 个高危及以上漏洞</w:t>
            </w:r>
          </w:p>
        </w:tc>
      </w:tr>
    </w:tbl>
    <w:p>
      <w:r>
        <w:t>综上，贵公司当前的安全建设水位有一定差距，随时可能面临数据泄露、系统破坏导致业务中断以及由此带来的经济损失、信誉损害、公信力下降等更为致命的风险。修复方案重点针对 OA 系统 、 ERP 系统 。</w:t>
      </w:r>
    </w:p>
    <w:p>
      <w:pPr>
        <w:pStyle w:val="4"/>
      </w:pPr>
      <w:bookmarkStart w:id="5" w:name="_Toc3256"/>
      <w:r>
        <w:t>4. 风险详情</w:t>
      </w:r>
      <w:bookmarkEnd w:id="5"/>
    </w:p>
    <w:p>
      <w:r>
        <w:t>风险汇总如下：</w:t>
      </w:r>
    </w:p>
    <w:p>
      <w:r>
        <w:t>近期处理告警共计 个，其中监测并响应有效安全事件 起（严重事件 起、高危事件 起），涉及资产 个；事件遏制 起；已闭环 起，处置中 起（闭环率 % ）。</w:t>
      </w:r>
    </w:p>
    <w:p>
      <w:r>
        <w:t>互联网业务总计发现风险 个（风险暴露面 个、漏洞 个、弱口令 个），其中高危及以上风险 个。</w:t>
      </w:r>
    </w:p>
    <w:p>
      <w:r>
        <w:t>内网核心业务总计发现风险 个（漏洞 个、弱口令 个），其中高危风险 个。</w:t>
      </w:r>
    </w:p>
    <w:p>
      <w:r>
        <w:t>安全组件策略配置共发现异常项 10 个（AF 2 个、aES 4 个、STA 2 个、SIP 2 个）。</w:t>
      </w:r>
    </w:p>
    <w:p>
      <w:pPr>
        <w:pStyle w:val="5"/>
      </w:pPr>
      <w:bookmarkStart w:id="6" w:name="_Toc23544"/>
      <w:r>
        <w:t>4.1 威胁运营</w:t>
      </w:r>
      <w:bookmarkEnd w:id="6"/>
    </w:p>
    <w:p>
      <w:r>
        <w:t>威胁运营是深信服通过 AI 智能数据解析、告警分析研判结合 7*24H 专家快速响应遏制能力，保障核心资产的安全事件能够快速闭环。</w:t>
      </w:r>
    </w:p>
    <w:p>
      <w:pPr>
        <w:pStyle w:val="6"/>
      </w:pPr>
      <w:r>
        <w:t>4.1.1 运营总览</w:t>
      </w:r>
    </w:p>
    <w:p>
      <w:r>
        <w:drawing>
          <wp:inline distT="0" distB="0" distL="114300" distR="114300">
            <wp:extent cx="6119495" cy="5010150"/>
            <wp:effectExtent l="0" t="0" r="1460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6120000" cy="5010750"/>
                    </a:xfrm>
                    <a:prstGeom prst="rect">
                      <a:avLst/>
                    </a:prstGeom>
                  </pic:spPr>
                </pic:pic>
              </a:graphicData>
            </a:graphic>
          </wp:inline>
        </w:drawing>
      </w:r>
    </w:p>
    <w:p>
      <w:r>
        <w:t>总览如下：</w:t>
      </w:r>
    </w:p>
    <w:p>
      <w:r>
        <w:t>【 XDR平台数据接入 】总计接入安全设备 个，其中深信服设备 个（AF 个、aES 个、SIP 个、STA 个、其他 个），第三方设备 个；经深信服 AI 智能数据解析，数据全部接入 XDR 平台，总计接收安全日志 条。</w:t>
      </w:r>
    </w:p>
    <w:p>
      <w:r>
        <w:t>【 AI辅助告警生成 】经深信服云端 AI 智能分析，生成有效告警 条。</w:t>
      </w:r>
    </w:p>
    <w:p>
      <w:r>
        <w:t>【 安全GPT研判 】经深信服安全 GPT 研判，生成安全事件 起（告警消减率 % ），其中严重事件 起、高危事件 起。</w:t>
      </w:r>
    </w:p>
    <w:p>
      <w:r>
        <w:t>【 云端专家7*24H持续守护 】所有托管资产的安全事件（ 起）由云端专家结合 AI 进行 7*24H 实时响应。响应包含：</w:t>
      </w:r>
    </w:p>
    <w:p>
      <w:r>
        <w:t>实时威胁对抗：对威胁进行实时监测和快速遏制，遏制事件 起。</w:t>
      </w:r>
    </w:p>
    <w:p>
      <w:r>
        <w:t>事件快速处置：对入侵成功事件快速应急响应，及时发现和处置了 起安全事件；事件平均响应时间 分钟，事件闭环率 % 。</w:t>
      </w:r>
    </w:p>
    <w:p>
      <w:pPr>
        <w:pStyle w:val="6"/>
      </w:pPr>
      <w:r>
        <w:t>4.1.2 安全事件分布</w:t>
      </w:r>
    </w:p>
    <w:p>
      <w:r>
        <w:drawing>
          <wp:inline distT="0" distB="0" distL="114300" distR="114300">
            <wp:extent cx="6119495" cy="3335655"/>
            <wp:effectExtent l="0" t="0" r="14605" b="1714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6120000" cy="3336249"/>
                    </a:xfrm>
                    <a:prstGeom prst="rect">
                      <a:avLst/>
                    </a:prstGeom>
                  </pic:spPr>
                </pic:pic>
              </a:graphicData>
            </a:graphic>
          </wp:inline>
        </w:drawing>
      </w:r>
    </w:p>
    <w:p>
      <w:r>
        <w:t>近期较多，后续深信服会重点关注病毒防护。</w:t>
      </w:r>
    </w:p>
    <w:p>
      <w:r>
        <w:t>遭受攻击较多，后续深信服会重点关注上述业务系统的事件响应。</w:t>
      </w:r>
    </w:p>
    <w:p>
      <w:pPr>
        <w:pStyle w:val="6"/>
      </w:pPr>
      <w:r>
        <w:t>4.1.3 高危及以上安全事件</w:t>
      </w:r>
    </w:p>
    <w:p>
      <w:r>
        <w:t>高危安全事件是指攻击者获取系统的控制权后，安装恶意软件（如后门程序），潜伏于目标系统中并对其进行长期控制，导致关键业务系统被破坏，甚至造成服务中断。典型的高危事件类型有恶意文件（勒索病毒、钓鱼附件等）、黑客工具（后门工具、代理工具、渗透工具等）、漏洞攻击（系统漏洞攻击、中间件漏洞攻击等）、内网爆破（RDP爆破、SMB爆破、数据库爆破等）、网站攻击（WebShell上传成功、代码注入成功、反序列化攻击成功等）。</w:t>
      </w:r>
    </w:p>
    <w:p>
      <w:r>
        <w:t>以下为高危及以上安全事件，详情见《安全事件清单.xlsx》，也可访问 XDR 平台--&gt;威胁分析--&gt;安全事件处理。</w:t>
      </w:r>
    </w:p>
    <w:p>
      <w:pPr>
        <w:pStyle w:val="7"/>
      </w:pPr>
      <w:r>
        <w:t>C2外联</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2409"/>
        <w:gridCol w:w="2409"/>
        <w:gridCol w:w="2409"/>
        <w:gridCol w:w="240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PrEx>
        <w:tc>
          <w:tcPr>
            <w:tcW w:w="2409" w:type="dxa"/>
          </w:tcPr>
          <w:p>
            <w:r>
              <w:t>外联IoC</w:t>
            </w:r>
          </w:p>
        </w:tc>
        <w:tc>
          <w:tcPr>
            <w:tcW w:w="2409" w:type="dxa"/>
          </w:tcPr>
          <w:p>
            <w:r>
              <w:t>受影响主机</w:t>
            </w:r>
          </w:p>
        </w:tc>
        <w:tc>
          <w:tcPr>
            <w:tcW w:w="2409" w:type="dxa"/>
          </w:tcPr>
          <w:p>
            <w:r>
              <w:t>最近发生时间</w:t>
            </w:r>
          </w:p>
        </w:tc>
        <w:tc>
          <w:tcPr>
            <w:tcW w:w="2409" w:type="dxa"/>
          </w:tcPr>
          <w:p>
            <w:r>
              <w:t>处置状态</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6" w:type="dxa"/>
            <w:gridSpan w:val="4"/>
          </w:tcPr>
          <w:p>
            <w:r>
              <w:t>暂无 C2 外联事件</w:t>
            </w:r>
          </w:p>
        </w:tc>
      </w:tr>
    </w:tbl>
    <w:p>
      <w:r>
        <w:t>风险危害</w:t>
      </w:r>
    </w:p>
    <w:p>
      <w:r>
        <w:t>主机失陷后与恶意 C2 服务器建立外联，攻击者可远程控制主机、窃取数据或发起进一步攻击，存在持续控制风险。出现C2外联表明主机可能已被专业攻击者控制，常被用作横向移动与持久化驻留的跳板。</w:t>
      </w:r>
    </w:p>
    <w:p>
      <w:pPr>
        <w:pStyle w:val="7"/>
      </w:pPr>
      <w:r>
        <w:t>病毒木马</w:t>
      </w:r>
    </w:p>
    <w:p>
      <w:r>
        <w:t>本次体检共发现病毒木马事件 起，存在该风险的主机列表举例如下：</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2409"/>
        <w:gridCol w:w="2409"/>
        <w:gridCol w:w="2409"/>
        <w:gridCol w:w="240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PrEx>
        <w:tc>
          <w:tcPr>
            <w:tcW w:w="2409" w:type="dxa"/>
          </w:tcPr>
          <w:p>
            <w:r>
              <w:t>病毒Hash</w:t>
            </w:r>
          </w:p>
        </w:tc>
        <w:tc>
          <w:tcPr>
            <w:tcW w:w="2409" w:type="dxa"/>
          </w:tcPr>
          <w:p>
            <w:r>
              <w:t>受影响主机</w:t>
            </w:r>
          </w:p>
        </w:tc>
        <w:tc>
          <w:tcPr>
            <w:tcW w:w="2409" w:type="dxa"/>
          </w:tcPr>
          <w:p>
            <w:r>
              <w:t>最近发生时间</w:t>
            </w:r>
          </w:p>
        </w:tc>
        <w:tc>
          <w:tcPr>
            <w:tcW w:w="2409" w:type="dxa"/>
          </w:tcPr>
          <w:p>
            <w:r>
              <w:t>处置状态</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PrEx>
        <w:tc>
          <w:tcPr>
            <w:tcW w:w="9636" w:type="dxa"/>
            <w:gridSpan w:val="4"/>
          </w:tcPr>
          <w:p>
            <w:r>
              <w:t>暂无病毒木马事件</w:t>
            </w:r>
          </w:p>
        </w:tc>
      </w:tr>
    </w:tbl>
    <w:p>
      <w:r>
        <w:t>风险危害</w:t>
      </w:r>
    </w:p>
    <w:p>
      <w:r>
        <w:t>病毒木马是一种结合了病毒和木马特性的恶意软件，影响包括系统控制权丧失、数据泄露、业务中断和修复难度较大。计算机感染该病毒后容易成为远控肉鸡，危害程度随时可能进一步恶化，最终造成窃取敏感数据、执行恶意操作、投递勒索病毒等更严重危害。</w:t>
      </w:r>
    </w:p>
    <w:p>
      <w:pPr>
        <w:pStyle w:val="7"/>
      </w:pPr>
      <w:r>
        <w:t>漏洞利用</w:t>
      </w:r>
    </w:p>
    <w:p>
      <w:r>
        <w:t>本次体检共发现漏洞利用事件 起，存在该风险的主机列表举例如下：</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2409"/>
        <w:gridCol w:w="2409"/>
        <w:gridCol w:w="2409"/>
        <w:gridCol w:w="240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事件名称</w:t>
            </w:r>
          </w:p>
        </w:tc>
        <w:tc>
          <w:tcPr>
            <w:tcW w:w="2409" w:type="dxa"/>
          </w:tcPr>
          <w:p>
            <w:r>
              <w:t>受影响主机</w:t>
            </w:r>
          </w:p>
        </w:tc>
        <w:tc>
          <w:tcPr>
            <w:tcW w:w="2409" w:type="dxa"/>
          </w:tcPr>
          <w:p>
            <w:r>
              <w:t>最近发生时间</w:t>
            </w:r>
          </w:p>
        </w:tc>
        <w:tc>
          <w:tcPr>
            <w:tcW w:w="2409" w:type="dxa"/>
          </w:tcPr>
          <w:p>
            <w:r>
              <w:t>处置状态</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6" w:type="dxa"/>
            <w:gridSpan w:val="4"/>
          </w:tcPr>
          <w:p>
            <w:r>
              <w:t>暂无漏洞利用事件</w:t>
            </w:r>
          </w:p>
        </w:tc>
      </w:tr>
    </w:tbl>
    <w:p>
      <w:r>
        <w:t>风险危害</w:t>
      </w:r>
    </w:p>
    <w:p>
      <w:r>
        <w:t>漏洞利用涉及攻击者实际利用漏洞进行攻击，可能通过恶意输入或特定工具来实现。攻击者的目标是执行恶意代码或获取系统控制权，可能导致数据泄露、系统崩溃和业务中断。修复和预防措施成本高昂，并对企业造成严重影响。</w:t>
      </w:r>
    </w:p>
    <w:p>
      <w:pPr>
        <w:pStyle w:val="6"/>
      </w:pPr>
      <w:r>
        <w:t>4.1.4 典型案例</w:t>
      </w:r>
    </w:p>
    <w:p>
      <w:r>
        <w:drawing>
          <wp:inline distT="0" distB="0" distL="114300" distR="114300">
            <wp:extent cx="6119495" cy="8839835"/>
            <wp:effectExtent l="0" t="0" r="14605" b="1841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6120000" cy="8840000"/>
                    </a:xfrm>
                    <a:prstGeom prst="rect">
                      <a:avLst/>
                    </a:prstGeom>
                  </pic:spPr>
                </pic:pic>
              </a:graphicData>
            </a:graphic>
          </wp:inline>
        </w:drawing>
      </w:r>
    </w:p>
    <w:p>
      <w:r>
        <w:t>详情可访问 XDR 平台--&gt;安全威胁分析--&gt;安全事件处理--&gt;事件详情--&gt;时间线；响应时延详情可访问 XDR 平台--&gt;安全威胁分析--&gt;安全事件处理--&gt;时延情况（鼠标悬浮）。</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4819"/>
        <w:gridCol w:w="481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潜在损失</w:t>
            </w:r>
          </w:p>
        </w:tc>
        <w:tc>
          <w:tcPr>
            <w:tcW w:w="4819" w:type="dxa"/>
          </w:tcPr>
          <w:p>
            <w:r>
              <w:t>漏洞利用攻击如果未及时发现和对抗，可能导致核心系统敏感数据泄露、主机被控挖矿、数据勒索加密等重大危害事件</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PrEx>
        <w:tc>
          <w:tcPr>
            <w:tcW w:w="4819" w:type="dxa"/>
          </w:tcPr>
          <w:p>
            <w:r>
              <w:t>潜在损失规避评估（影响面）</w:t>
            </w:r>
          </w:p>
        </w:tc>
        <w:tc>
          <w:tcPr>
            <w:tcW w:w="4819" w:type="dxa"/>
          </w:tcPr>
          <w:p>
            <w:r>
              <w:t>2 个高危可利用漏洞*100万元≈ 200 万元（基于行业公开事例评估测算，单个漏洞利用攻击入侵成功导致的平均安全损失约 100 万元）</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实际案例损失情况</w:t>
            </w:r>
          </w:p>
        </w:tc>
        <w:tc>
          <w:tcPr>
            <w:tcW w:w="4819" w:type="dxa"/>
          </w:tcPr>
          <w:p>
            <w:r>
              <w:t>当前规模化的 RaaS 攻击手段主要探测识别 1 DAY 高危可利用漏洞后进行自动化利用攻击。 捷豹路虎遭勒索攻击致全球系统瘫痪 日期： 2025.9 至 2025.10.8 事件概要："Scattered Lapsus$ Hunters" 黑客组织利用 SAP NetWeaver（CVE-2025-31324）远程执行漏洞入侵内部网络，部署勒索软件并窃取数据。 影响描述：全球 IT 系统关闭，生产、销售、售后服务全面瘫痪； 33,000 名员工被安排休假；财务损失达 1.96 亿英镑； 10 月 8 日才完成系统重启。 基于国内安全咨询机构及厂商综合披露的数据显示，国内政企勒索支付的中位数为 100 万元</w:t>
            </w:r>
          </w:p>
        </w:tc>
      </w:tr>
    </w:tbl>
    <w:p>
      <w:pPr>
        <w:pStyle w:val="5"/>
      </w:pPr>
      <w:bookmarkStart w:id="7" w:name="_Toc25183"/>
      <w:r>
        <w:t>4.2 威胁预防</w:t>
      </w:r>
      <w:bookmarkEnd w:id="7"/>
    </w:p>
    <w:p>
      <w:r>
        <w:t>威胁预防是深信服通过内外部安全组件在事前帮助客户发现互联网业务与内网资产的风险。本次体检优先关注脆弱性问题，常见的脆弱性问题有风险暴露面、软件漏洞、弱口令等。</w:t>
      </w:r>
    </w:p>
    <w:p>
      <w:pPr>
        <w:pStyle w:val="6"/>
      </w:pPr>
      <w:r>
        <w:t>4.2.1 互联网业务</w:t>
      </w:r>
    </w:p>
    <w:p>
      <w:r>
        <w:t>互联网业务风险整体较大，存在大量对外暴露的端口与服务。其中有 个资产暴露了 个端口，存在 个漏洞。</w:t>
      </w:r>
    </w:p>
    <w:p>
      <w:pPr>
        <w:pStyle w:val="7"/>
      </w:pPr>
      <w:r>
        <w:t>风险暴露面</w:t>
      </w:r>
    </w:p>
    <w:p>
      <w:r>
        <w:t>共发现互联网暴露面 个，其中风险暴露面 个；关联资产 个，其中风险资产 个。分布如下：</w:t>
      </w:r>
    </w:p>
    <w:p>
      <w:r>
        <w:t>注：暴露的端口和业务后台页面可能会被攻击者探测并利用。</w:t>
      </w:r>
    </w:p>
    <w:p>
      <w:r>
        <w:drawing>
          <wp:inline distT="0" distB="0" distL="114300" distR="114300">
            <wp:extent cx="5412105" cy="9251950"/>
            <wp:effectExtent l="0" t="0" r="17145"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5412138" cy="9252000"/>
                    </a:xfrm>
                    <a:prstGeom prst="rect">
                      <a:avLst/>
                    </a:prstGeom>
                  </pic:spPr>
                </pic:pic>
              </a:graphicData>
            </a:graphic>
          </wp:inline>
        </w:drawing>
      </w:r>
    </w:p>
    <w:p>
      <w:r>
        <w:t>暴露面详情见《暴露面清单.xlsx》</w:t>
      </w:r>
    </w:p>
    <w:p>
      <w:pPr>
        <w:pStyle w:val="7"/>
      </w:pPr>
      <w:r>
        <w:t>漏洞</w:t>
      </w:r>
    </w:p>
    <w:p>
      <w:r>
        <w:t>本次体检共发现互联网漏洞 个（严重 个、高危 个、中危 个、低危 个），关联资产 个。</w:t>
      </w:r>
    </w:p>
    <w:p>
      <w:r>
        <w:t>从漏洞修复优先级视角统计，急需修复 个、尽快修复 个、建议修复 个。</w:t>
      </w:r>
    </w:p>
    <w:p>
      <w:r>
        <w:t>互联网漏洞风险资产TOP 5如下：</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3213"/>
        <w:gridCol w:w="3213"/>
        <w:gridCol w:w="3213"/>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序号</w:t>
            </w:r>
          </w:p>
        </w:tc>
        <w:tc>
          <w:tcPr>
            <w:tcW w:w="3213" w:type="dxa"/>
          </w:tcPr>
          <w:p>
            <w:r>
              <w:t>风险资产</w:t>
            </w:r>
          </w:p>
        </w:tc>
        <w:tc>
          <w:tcPr>
            <w:tcW w:w="3213" w:type="dxa"/>
          </w:tcPr>
          <w:p>
            <w:r>
              <w:t>漏洞修复优先级</w:t>
            </w:r>
          </w:p>
        </w:tc>
      </w:tr>
    </w:tbl>
    <w:p>
      <w:r>
        <w:t>互联网漏洞详情见《漏洞清单.xlsx》</w:t>
      </w:r>
    </w:p>
    <w:p>
      <w:pPr>
        <w:pStyle w:val="7"/>
      </w:pPr>
      <w:r>
        <w:t>弱口令</w:t>
      </w:r>
    </w:p>
    <w:p>
      <w:r>
        <w:t>本次体检共发现 个资产存在弱口令 个，分布如下：</w:t>
      </w:r>
    </w:p>
    <w:p>
      <w:r>
        <w:drawing>
          <wp:inline distT="0" distB="0" distL="114300" distR="114300">
            <wp:extent cx="6119495" cy="3789045"/>
            <wp:effectExtent l="0" t="0" r="14605" b="190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6120000" cy="3789583"/>
                    </a:xfrm>
                    <a:prstGeom prst="rect">
                      <a:avLst/>
                    </a:prstGeom>
                  </pic:spPr>
                </pic:pic>
              </a:graphicData>
            </a:graphic>
          </wp:inline>
        </w:drawing>
      </w:r>
    </w:p>
    <w:p>
      <w:r>
        <w:t>弱口令详情见《弱口令.xlsx》</w:t>
      </w:r>
    </w:p>
    <w:p>
      <w:pPr>
        <w:pStyle w:val="6"/>
      </w:pPr>
      <w:r>
        <w:t>4.2.2 内网业务</w:t>
      </w:r>
    </w:p>
    <w:p>
      <w:r>
        <w:t>当前内网业务整体风险可控，可优先修复高危风险后，再来修复内网相关风险。</w:t>
      </w:r>
    </w:p>
    <w:p>
      <w:pPr>
        <w:pStyle w:val="7"/>
      </w:pPr>
      <w:r>
        <w:t>漏洞</w:t>
      </w:r>
    </w:p>
    <w:p>
      <w:r>
        <w:t>本次体检共发现内网漏洞 个（严重 个、高危 个、中危 个、低危 个），关联业务 个，关联资产 个。</w:t>
      </w:r>
    </w:p>
    <w:p>
      <w:r>
        <w:t>从漏洞修复优先级视角统计，急需修复 个、尽快修复 个、建议修复 个。</w:t>
      </w:r>
    </w:p>
    <w:p>
      <w:r>
        <w:t>业务系统TOP 5如下：</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3213"/>
        <w:gridCol w:w="3213"/>
        <w:gridCol w:w="3213"/>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序号</w:t>
            </w:r>
          </w:p>
        </w:tc>
        <w:tc>
          <w:tcPr>
            <w:tcW w:w="3213" w:type="dxa"/>
          </w:tcPr>
          <w:p>
            <w:r>
              <w:t>风险资产</w:t>
            </w:r>
          </w:p>
        </w:tc>
        <w:tc>
          <w:tcPr>
            <w:tcW w:w="3213" w:type="dxa"/>
          </w:tcPr>
          <w:p>
            <w:r>
              <w:t>漏洞修复优先级</w:t>
            </w:r>
          </w:p>
        </w:tc>
      </w:tr>
    </w:tbl>
    <w:p>
      <w:r>
        <w:t>内网漏洞风险资产TOP 5如下：</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3213"/>
        <w:gridCol w:w="3213"/>
        <w:gridCol w:w="3213"/>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PrEx>
        <w:tc>
          <w:tcPr>
            <w:tcW w:w="3213" w:type="dxa"/>
          </w:tcPr>
          <w:p>
            <w:r>
              <w:t>序号</w:t>
            </w:r>
          </w:p>
        </w:tc>
        <w:tc>
          <w:tcPr>
            <w:tcW w:w="3213" w:type="dxa"/>
          </w:tcPr>
          <w:p>
            <w:r>
              <w:t>风险资产</w:t>
            </w:r>
          </w:p>
        </w:tc>
        <w:tc>
          <w:tcPr>
            <w:tcW w:w="3213" w:type="dxa"/>
          </w:tcPr>
          <w:p>
            <w:r>
              <w:t>漏洞修复优先级</w:t>
            </w:r>
          </w:p>
        </w:tc>
      </w:tr>
    </w:tbl>
    <w:p>
      <w:r>
        <w:t>内网漏洞详情见《漏洞清单.xlsx》，也可访问 XDR 平台--&gt;风险管理--&gt;脆弱性--&gt;漏洞</w:t>
      </w:r>
    </w:p>
    <w:p>
      <w:pPr>
        <w:pStyle w:val="7"/>
      </w:pPr>
      <w:r>
        <w:t>弱口令</w:t>
      </w:r>
    </w:p>
    <w:p>
      <w:r>
        <w:t>本次体检共发现 个资产存在弱口令 个，分布如下：</w:t>
      </w:r>
    </w:p>
    <w:p>
      <w:r>
        <w:drawing>
          <wp:inline distT="0" distB="0" distL="114300" distR="114300">
            <wp:extent cx="6119495" cy="4129405"/>
            <wp:effectExtent l="0" t="0" r="14605" b="444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a:stretch>
                      <a:fillRect/>
                    </a:stretch>
                  </pic:blipFill>
                  <pic:spPr>
                    <a:xfrm>
                      <a:off x="0" y="0"/>
                      <a:ext cx="6120000" cy="4129583"/>
                    </a:xfrm>
                    <a:prstGeom prst="rect">
                      <a:avLst/>
                    </a:prstGeom>
                  </pic:spPr>
                </pic:pic>
              </a:graphicData>
            </a:graphic>
          </wp:inline>
        </w:drawing>
      </w:r>
    </w:p>
    <w:p>
      <w:r>
        <w:t>弱口令详情见《弱口令.xlsx》，也可访问 XDR 平台--&gt;风险管理--&gt;脆弱性--&gt;弱口令</w:t>
      </w:r>
    </w:p>
    <w:p>
      <w:pPr>
        <w:pStyle w:val="6"/>
      </w:pPr>
      <w:r>
        <w:t>4.2.3 防护有效性</w:t>
      </w:r>
    </w:p>
    <w:p>
      <w:pPr>
        <w:pStyle w:val="7"/>
      </w:pPr>
      <w:r>
        <w:t>安全组件策略检查</w:t>
      </w:r>
    </w:p>
    <w:p>
      <w:r>
        <w:t>评估期间，深信服安全服务团队对接入的深信服安全组件进行策略检查，涉及检查项 5 个，发现安全组件策略配置异常项 3 个（EDR 3 个），建议尽快修复。</w:t>
      </w:r>
    </w:p>
    <w:p>
      <w:r>
        <w:drawing>
          <wp:inline distT="0" distB="0" distL="114300" distR="114300">
            <wp:extent cx="6119495" cy="1111885"/>
            <wp:effectExtent l="0" t="0" r="14605" b="1206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6"/>
                    <a:stretch>
                      <a:fillRect/>
                    </a:stretch>
                  </pic:blipFill>
                  <pic:spPr>
                    <a:xfrm>
                      <a:off x="0" y="0"/>
                      <a:ext cx="6120000" cy="1112083"/>
                    </a:xfrm>
                    <a:prstGeom prst="rect">
                      <a:avLst/>
                    </a:prstGeom>
                  </pic:spPr>
                </pic:pic>
              </a:graphicData>
            </a:graphic>
          </wp:inline>
        </w:drawing>
      </w:r>
    </w:p>
    <w:p>
      <w:r>
        <w:t>组件全部检查项风险统计：</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2409"/>
        <w:gridCol w:w="2409"/>
        <w:gridCol w:w="2409"/>
        <w:gridCol w:w="240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序号</w:t>
            </w:r>
          </w:p>
        </w:tc>
        <w:tc>
          <w:tcPr>
            <w:tcW w:w="2409" w:type="dxa"/>
          </w:tcPr>
          <w:p>
            <w:r>
              <w:t>组件类型</w:t>
            </w:r>
          </w:p>
        </w:tc>
        <w:tc>
          <w:tcPr>
            <w:tcW w:w="2409" w:type="dxa"/>
          </w:tcPr>
          <w:p>
            <w:r>
              <w:t>组件名称</w:t>
            </w:r>
          </w:p>
        </w:tc>
        <w:tc>
          <w:tcPr>
            <w:tcW w:w="2409" w:type="dxa"/>
          </w:tcPr>
          <w:p>
            <w:r>
              <w:t>全部检查项（风险项）</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1</w:t>
            </w:r>
          </w:p>
        </w:tc>
        <w:tc>
          <w:tcPr>
            <w:tcW w:w="2409" w:type="dxa"/>
          </w:tcPr>
          <w:p>
            <w:r>
              <w:t>EDR</w:t>
            </w:r>
          </w:p>
        </w:tc>
        <w:tc>
          <w:tcPr>
            <w:tcW w:w="2409" w:type="dxa"/>
          </w:tcPr>
          <w:p>
            <w:r>
              <w:t>设备名称1</w:t>
            </w:r>
          </w:p>
        </w:tc>
        <w:tc>
          <w:tcPr>
            <w:tcW w:w="2409" w:type="dxa"/>
          </w:tcPr>
          <w:p>
            <w:r>
              <w:t>2 （ 1 ）</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PrEx>
        <w:tc>
          <w:tcPr>
            <w:tcW w:w="2409" w:type="dxa"/>
          </w:tcPr>
          <w:p>
            <w:r>
              <w:t>2</w:t>
            </w:r>
          </w:p>
        </w:tc>
        <w:tc>
          <w:tcPr>
            <w:tcW w:w="2409" w:type="dxa"/>
          </w:tcPr>
          <w:p>
            <w:r>
              <w:t>EDR</w:t>
            </w:r>
          </w:p>
        </w:tc>
        <w:tc>
          <w:tcPr>
            <w:tcW w:w="2409" w:type="dxa"/>
          </w:tcPr>
          <w:p>
            <w:r>
              <w:t>设备名称3</w:t>
            </w:r>
          </w:p>
        </w:tc>
        <w:tc>
          <w:tcPr>
            <w:tcW w:w="2409" w:type="dxa"/>
          </w:tcPr>
          <w:p>
            <w:r>
              <w:t>1 （ 1 ）</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PrEx>
        <w:tc>
          <w:tcPr>
            <w:tcW w:w="2409" w:type="dxa"/>
          </w:tcPr>
          <w:p>
            <w:r>
              <w:t>3</w:t>
            </w:r>
          </w:p>
        </w:tc>
        <w:tc>
          <w:tcPr>
            <w:tcW w:w="2409" w:type="dxa"/>
          </w:tcPr>
          <w:p>
            <w:r>
              <w:t>EDR</w:t>
            </w:r>
          </w:p>
        </w:tc>
        <w:tc>
          <w:tcPr>
            <w:tcW w:w="2409" w:type="dxa"/>
          </w:tcPr>
          <w:p>
            <w:r>
              <w:t>设备名称4</w:t>
            </w:r>
          </w:p>
        </w:tc>
        <w:tc>
          <w:tcPr>
            <w:tcW w:w="2409" w:type="dxa"/>
          </w:tcPr>
          <w:p>
            <w:r>
              <w:t>1 （ 1 ）</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4</w:t>
            </w:r>
          </w:p>
        </w:tc>
        <w:tc>
          <w:tcPr>
            <w:tcW w:w="2409" w:type="dxa"/>
          </w:tcPr>
          <w:p>
            <w:r>
              <w:t>EDR</w:t>
            </w:r>
          </w:p>
        </w:tc>
        <w:tc>
          <w:tcPr>
            <w:tcW w:w="2409" w:type="dxa"/>
          </w:tcPr>
          <w:p>
            <w:r>
              <w:t>设备名称5</w:t>
            </w:r>
          </w:p>
        </w:tc>
        <w:tc>
          <w:tcPr>
            <w:tcW w:w="2409" w:type="dxa"/>
          </w:tcPr>
          <w:p>
            <w:r>
              <w:t>1</w:t>
            </w:r>
          </w:p>
        </w:tc>
      </w:tr>
    </w:tbl>
    <w:p>
      <w:r>
        <w:t>各组件策略检查异常项：</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1606"/>
        <w:gridCol w:w="1606"/>
        <w:gridCol w:w="1606"/>
        <w:gridCol w:w="1606"/>
        <w:gridCol w:w="1606"/>
        <w:gridCol w:w="1606"/>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1606" w:type="dxa"/>
          </w:tcPr>
          <w:p>
            <w:r>
              <w:t>序号</w:t>
            </w:r>
          </w:p>
        </w:tc>
        <w:tc>
          <w:tcPr>
            <w:tcW w:w="1606" w:type="dxa"/>
          </w:tcPr>
          <w:p>
            <w:r>
              <w:t>组件名称</w:t>
            </w:r>
          </w:p>
        </w:tc>
        <w:tc>
          <w:tcPr>
            <w:tcW w:w="1606" w:type="dxa"/>
          </w:tcPr>
          <w:p>
            <w:r>
              <w:t>防护策略</w:t>
            </w:r>
          </w:p>
        </w:tc>
        <w:tc>
          <w:tcPr>
            <w:tcW w:w="1606" w:type="dxa"/>
          </w:tcPr>
          <w:p>
            <w:r>
              <w:t>状态</w:t>
            </w:r>
          </w:p>
        </w:tc>
        <w:tc>
          <w:tcPr>
            <w:tcW w:w="1606" w:type="dxa"/>
          </w:tcPr>
          <w:p>
            <w:r>
              <w:t>异常描述</w:t>
            </w:r>
          </w:p>
        </w:tc>
        <w:tc>
          <w:tcPr>
            <w:tcW w:w="1606" w:type="dxa"/>
          </w:tcPr>
          <w:p>
            <w:r>
              <w:t>风险说明</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1606" w:type="dxa"/>
          </w:tcPr>
          <w:p>
            <w:r>
              <w:t>1</w:t>
            </w:r>
          </w:p>
        </w:tc>
        <w:tc>
          <w:tcPr>
            <w:tcW w:w="1606" w:type="dxa"/>
          </w:tcPr>
          <w:p>
            <w:r>
              <w:t>设备名称1 EDR</w:t>
            </w:r>
          </w:p>
        </w:tc>
        <w:tc>
          <w:tcPr>
            <w:tcW w:w="1606" w:type="dxa"/>
          </w:tcPr>
          <w:p>
            <w:r>
              <w:t>Linux SSH暴力破解检测-处置方式</w:t>
            </w:r>
          </w:p>
        </w:tc>
        <w:tc>
          <w:tcPr>
            <w:tcW w:w="1606" w:type="dxa"/>
          </w:tcPr>
          <w:p>
            <w:r>
              <w:t>策略获取失败</w:t>
            </w:r>
          </w:p>
        </w:tc>
        <w:tc>
          <w:tcPr>
            <w:tcW w:w="1606" w:type="dxa"/>
          </w:tcPr>
          <w:p>
            <w:r>
              <w:t>当前策略获取失败，请人工检查该设备策略情况。</w:t>
            </w:r>
          </w:p>
        </w:tc>
        <w:tc>
          <w:tcPr>
            <w:tcW w:w="1606" w:type="dxa"/>
          </w:tcPr>
          <w:p>
            <w:r>
              <w:t>风险描述举例</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1606" w:type="dxa"/>
          </w:tcPr>
          <w:p>
            <w:r>
              <w:t>2</w:t>
            </w:r>
          </w:p>
        </w:tc>
        <w:tc>
          <w:tcPr>
            <w:tcW w:w="1606" w:type="dxa"/>
          </w:tcPr>
          <w:p>
            <w:r>
              <w:t>设备名称3 EDR</w:t>
            </w:r>
          </w:p>
        </w:tc>
        <w:tc>
          <w:tcPr>
            <w:tcW w:w="1606" w:type="dxa"/>
          </w:tcPr>
          <w:p>
            <w:r>
              <w:t>Linux SSH暴力破解检测-处置方式</w:t>
            </w:r>
          </w:p>
        </w:tc>
        <w:tc>
          <w:tcPr>
            <w:tcW w:w="1606" w:type="dxa"/>
          </w:tcPr>
          <w:p>
            <w:r>
              <w:t>策略获取失败</w:t>
            </w:r>
          </w:p>
        </w:tc>
        <w:tc>
          <w:tcPr>
            <w:tcW w:w="1606" w:type="dxa"/>
          </w:tcPr>
          <w:p>
            <w:r>
              <w:t>当前策略获取失败，请人工检查该设备策略情况。</w:t>
            </w:r>
          </w:p>
        </w:tc>
        <w:tc>
          <w:tcPr>
            <w:tcW w:w="1606" w:type="dxa"/>
          </w:tcPr>
          <w:p>
            <w:r>
              <w:t>风险描述举例</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1606" w:type="dxa"/>
          </w:tcPr>
          <w:p>
            <w:r>
              <w:t>3</w:t>
            </w:r>
          </w:p>
        </w:tc>
        <w:tc>
          <w:tcPr>
            <w:tcW w:w="1606" w:type="dxa"/>
          </w:tcPr>
          <w:p>
            <w:r>
              <w:t>设备名称4 EDR</w:t>
            </w:r>
          </w:p>
        </w:tc>
        <w:tc>
          <w:tcPr>
            <w:tcW w:w="1606" w:type="dxa"/>
          </w:tcPr>
          <w:p>
            <w:r>
              <w:t>Linux SSH暴力破解检测-处置方式</w:t>
            </w:r>
          </w:p>
        </w:tc>
        <w:tc>
          <w:tcPr>
            <w:tcW w:w="1606" w:type="dxa"/>
          </w:tcPr>
          <w:p>
            <w:r>
              <w:t>策略获取失败</w:t>
            </w:r>
          </w:p>
        </w:tc>
        <w:tc>
          <w:tcPr>
            <w:tcW w:w="1606" w:type="dxa"/>
          </w:tcPr>
          <w:p>
            <w:r>
              <w:t>当前策略获取失败，请人工检查该设备策略情况。</w:t>
            </w:r>
          </w:p>
        </w:tc>
        <w:tc>
          <w:tcPr>
            <w:tcW w:w="1606" w:type="dxa"/>
          </w:tcPr>
          <w:p>
            <w:r>
              <w:t>风险描述举例</w:t>
            </w:r>
          </w:p>
        </w:tc>
      </w:tr>
    </w:tbl>
    <w:p>
      <w:r>
        <w:t>策略检查详情见《策略检查清单.xlsx》</w:t>
      </w:r>
    </w:p>
    <w:p>
      <w:pPr>
        <w:pStyle w:val="4"/>
      </w:pPr>
      <w:bookmarkStart w:id="8" w:name="_Toc26207"/>
      <w:r>
        <w:t>5. 附录</w:t>
      </w:r>
      <w:bookmarkEnd w:id="8"/>
    </w:p>
    <w:p>
      <w:pPr>
        <w:pStyle w:val="5"/>
      </w:pPr>
      <w:bookmarkStart w:id="9" w:name="_Toc31154"/>
      <w:r>
        <w:t>5.1 评估原则</w:t>
      </w:r>
      <w:bookmarkEnd w:id="9"/>
    </w:p>
    <w:p>
      <w:r>
        <w:t>本次评估工作中严格遵循以下原则：</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4819"/>
        <w:gridCol w:w="481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原则</w:t>
            </w:r>
          </w:p>
        </w:tc>
        <w:tc>
          <w:tcPr>
            <w:tcW w:w="4819" w:type="dxa"/>
          </w:tcPr>
          <w:p>
            <w:r>
              <w:t>说明</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规范性原则</w:t>
            </w:r>
          </w:p>
        </w:tc>
        <w:tc>
          <w:tcPr>
            <w:tcW w:w="4819" w:type="dxa"/>
          </w:tcPr>
          <w:p>
            <w:r>
              <w:t>遵循《信息安全运营评估规范》和国内外有关安全标准，规范工作过程和文档。</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最小影响原则</w:t>
            </w:r>
          </w:p>
        </w:tc>
        <w:tc>
          <w:tcPr>
            <w:tcW w:w="4819" w:type="dxa"/>
          </w:tcPr>
          <w:p>
            <w:r>
              <w:t>尽可能小的影响被评估系统和网络的正常运行。</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保密性原则</w:t>
            </w:r>
          </w:p>
        </w:tc>
        <w:tc>
          <w:tcPr>
            <w:tcW w:w="4819" w:type="dxa"/>
          </w:tcPr>
          <w:p>
            <w:r>
              <w:t>双方签署保密协议，在评估前和评估过程中对评估数据严格保密，评估结束后严禁将评估中的数据用于任何有损被评估方利益的用途。</w:t>
            </w:r>
          </w:p>
        </w:tc>
      </w:tr>
    </w:tbl>
    <w:p>
      <w:pPr>
        <w:pStyle w:val="5"/>
      </w:pPr>
      <w:bookmarkStart w:id="10" w:name="_Toc29425"/>
      <w:r>
        <w:t>5.2 评估目标</w:t>
      </w:r>
      <w:bookmarkEnd w:id="10"/>
    </w:p>
    <w:p>
      <w:r>
        <w:t>通过开展安全评估工作，全面了解贵单位信息系统的安全现状，并分析出目前的不足之处，为贵单位加强对信息系统的安全防护提供方向，且对已经入侵的潜伏威胁进行深度识别分析，降低现有安全隐患导致的安全事件发生概率，遏制风险的进一步蔓延，保障业务系统安全。</w:t>
      </w:r>
    </w:p>
    <w:p>
      <w:pPr>
        <w:pStyle w:val="5"/>
      </w:pPr>
      <w:bookmarkStart w:id="11" w:name="_Toc31229"/>
      <w:r>
        <w:t>5.3 评估范围</w:t>
      </w:r>
      <w:bookmarkEnd w:id="11"/>
    </w:p>
    <w:p>
      <w:r>
        <w:t>本次评估范围为贵公司网络环境中安全组件所能监测覆盖到的所有资产。</w:t>
      </w:r>
    </w:p>
    <w:p>
      <w:pPr>
        <w:pStyle w:val="5"/>
      </w:pPr>
      <w:bookmarkStart w:id="12" w:name="_Toc10036"/>
      <w:r>
        <w:t>5.4 评估手段</w:t>
      </w:r>
      <w:bookmarkEnd w:id="12"/>
    </w:p>
    <w:p>
      <w:r>
        <w:t>本次评估主要采用了日志分析、漏洞扫描、资产识别、互联网暴露面梳理、网络架构分析等手段，保证了评估的全面性。通过对网络环境、资产、脆弱性、现阶段存在的风险进行分析，客观地根据所有资产面临的风险状况提出安全需求，并通过针对性地选择和实施某些安全控制措施来满足安全需求，从而达到降低风险的目的。</w:t>
      </w:r>
    </w:p>
    <w:p>
      <w:pPr>
        <w:pStyle w:val="5"/>
      </w:pPr>
      <w:bookmarkStart w:id="13" w:name="_Toc18541"/>
      <w:r>
        <w:t>5.5 安全评级</w:t>
      </w:r>
      <w:bookmarkEnd w:id="13"/>
    </w:p>
    <w:p>
      <w:pPr>
        <w:pStyle w:val="7"/>
      </w:pPr>
      <w:r>
        <w:t>体检总体评级</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3213"/>
        <w:gridCol w:w="3213"/>
        <w:gridCol w:w="3213"/>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总体评级</w:t>
            </w:r>
          </w:p>
        </w:tc>
        <w:tc>
          <w:tcPr>
            <w:tcW w:w="3213" w:type="dxa"/>
          </w:tcPr>
          <w:p>
            <w:r>
              <w:t>风险程度</w:t>
            </w:r>
          </w:p>
        </w:tc>
        <w:tc>
          <w:tcPr>
            <w:tcW w:w="3213" w:type="dxa"/>
          </w:tcPr>
          <w:p>
            <w:r>
              <w:t>定义</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优</w:t>
            </w:r>
          </w:p>
        </w:tc>
        <w:tc>
          <w:tcPr>
            <w:tcW w:w="3213" w:type="dxa"/>
          </w:tcPr>
          <w:p>
            <w:r>
              <w:t>低危风险</w:t>
            </w:r>
          </w:p>
        </w:tc>
        <w:tc>
          <w:tcPr>
            <w:tcW w:w="3213" w:type="dxa"/>
          </w:tcPr>
          <w:p>
            <w:r>
              <w:t>优表明整体风险程度较低，综合评分在 90 ~ 100</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良</w:t>
            </w:r>
          </w:p>
        </w:tc>
        <w:tc>
          <w:tcPr>
            <w:tcW w:w="3213" w:type="dxa"/>
          </w:tcPr>
          <w:p>
            <w:r>
              <w:t>中危风险</w:t>
            </w:r>
          </w:p>
        </w:tc>
        <w:tc>
          <w:tcPr>
            <w:tcW w:w="3213" w:type="dxa"/>
          </w:tcPr>
          <w:p>
            <w:r>
              <w:t>良表明整体风险程度居中，但风险可控，稍加治理即可达到优秀评级，综合评分在 80 ~ 89</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中</w:t>
            </w:r>
          </w:p>
        </w:tc>
        <w:tc>
          <w:tcPr>
            <w:tcW w:w="3213" w:type="dxa"/>
          </w:tcPr>
          <w:p>
            <w:r>
              <w:t>高危风险</w:t>
            </w:r>
          </w:p>
        </w:tc>
        <w:tc>
          <w:tcPr>
            <w:tcW w:w="3213" w:type="dxa"/>
          </w:tcPr>
          <w:p>
            <w:r>
              <w:t>中表明整体风险程度较高，处于失控边缘，若再不修复即将失陷，爆发安全问题，综合评分在 60 ~ 79</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差</w:t>
            </w:r>
          </w:p>
        </w:tc>
        <w:tc>
          <w:tcPr>
            <w:tcW w:w="3213" w:type="dxa"/>
          </w:tcPr>
          <w:p>
            <w:r>
              <w:t>严重风险</w:t>
            </w:r>
          </w:p>
        </w:tc>
        <w:tc>
          <w:tcPr>
            <w:tcW w:w="3213" w:type="dxa"/>
          </w:tcPr>
          <w:p>
            <w:r>
              <w:t>差表明内外部风险极大，已经爆发安全问题，急需修复，综合评分在 60 分以下</w:t>
            </w:r>
          </w:p>
        </w:tc>
      </w:tr>
    </w:tbl>
    <w:p>
      <w:r>
        <w:t>附：评分根据已产生的安全事件、主动风险发现所感知到的所有风险，基于风险类型与风险资产重要性综合打分</w:t>
      </w:r>
    </w:p>
    <w:p>
      <w:pPr>
        <w:pStyle w:val="7"/>
      </w:pPr>
      <w:r>
        <w:t>安全事件评级</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4819"/>
        <w:gridCol w:w="481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风险等级</w:t>
            </w:r>
          </w:p>
        </w:tc>
        <w:tc>
          <w:tcPr>
            <w:tcW w:w="4819" w:type="dxa"/>
          </w:tcPr>
          <w:p>
            <w:r>
              <w:t>定义</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严重</w:t>
            </w:r>
          </w:p>
        </w:tc>
        <w:tc>
          <w:tcPr>
            <w:tcW w:w="4819" w:type="dxa"/>
          </w:tcPr>
          <w:p>
            <w:r>
              <w:t>若被标记为严重，表示存在针对目标或破坏核心基础架构，导致多个服务中断，导致多个系统破坏或危害关键基础架构的增加的黑客攻击，病毒或其他恶意网络活动的高风险。在此级别上，漏洞利用的破坏或破坏程度很高，或者严重破坏或破坏的可能性很高。</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高危</w:t>
            </w:r>
          </w:p>
        </w:tc>
        <w:tc>
          <w:tcPr>
            <w:tcW w:w="4819" w:type="dxa"/>
          </w:tcPr>
          <w:p>
            <w:r>
              <w:t>若被标记为高危，表示由于黑客入侵，病毒或其他恶意活动增加了危害系统或降低服务质量的重大风险。在此级别上，已知的漏洞正在以中等程度的损坏或破坏来利用，或者发生重大损坏或破坏的可能性很高。</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中危</w:t>
            </w:r>
          </w:p>
        </w:tc>
        <w:tc>
          <w:tcPr>
            <w:tcW w:w="4819" w:type="dxa"/>
          </w:tcPr>
          <w:p>
            <w:r>
              <w:t>若被标记为中危，表示存在黑客攻击、病毒或其他恶意网络活动，造成系统局部功能受影响、少量信息异常的一般风险。在此级别上，漏洞利用仅造成轻微损坏，或者发生一般性损坏的可能性较高。</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低危</w:t>
            </w:r>
          </w:p>
        </w:tc>
        <w:tc>
          <w:tcPr>
            <w:tcW w:w="4819" w:type="dxa"/>
          </w:tcPr>
          <w:p>
            <w:r>
              <w:t>若被标记为低危，表示除了已知的黑客活动，已知的病毒或其他已知恶意活动的正常关注之外，没有异常活动存在。</w:t>
            </w:r>
          </w:p>
        </w:tc>
      </w:tr>
    </w:tbl>
    <w:p>
      <w:pPr>
        <w:pStyle w:val="7"/>
      </w:pPr>
      <w:r>
        <w:t>漏洞危害程度评级</w:t>
      </w:r>
    </w:p>
    <w:p>
      <w:r>
        <w:t>基于 CVSS（Common Vulnerability Scoring System）2.0 与 3.0 进行等级标准定义</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4819"/>
        <w:gridCol w:w="481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风险等级</w:t>
            </w:r>
          </w:p>
        </w:tc>
        <w:tc>
          <w:tcPr>
            <w:tcW w:w="4819" w:type="dxa"/>
          </w:tcPr>
          <w:p>
            <w:r>
              <w:t>定义</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严重</w:t>
            </w:r>
          </w:p>
        </w:tc>
        <w:tc>
          <w:tcPr>
            <w:tcW w:w="4819" w:type="dxa"/>
          </w:tcPr>
          <w:p>
            <w:r>
              <w:t>CVSS 3.0：9.0-10.0</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高危</w:t>
            </w:r>
          </w:p>
        </w:tc>
        <w:tc>
          <w:tcPr>
            <w:tcW w:w="4819" w:type="dxa"/>
          </w:tcPr>
          <w:p>
            <w:r>
              <w:t>CVSS 2.0：7.0-10.0；CVSS 3.0：7.0-8.9</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中危</w:t>
            </w:r>
          </w:p>
        </w:tc>
        <w:tc>
          <w:tcPr>
            <w:tcW w:w="4819" w:type="dxa"/>
          </w:tcPr>
          <w:p>
            <w:r>
              <w:t>CVSS 2.0：4.0-6.9；CVSS 3.0：4.0-6.9</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低危</w:t>
            </w:r>
          </w:p>
        </w:tc>
        <w:tc>
          <w:tcPr>
            <w:tcW w:w="4819" w:type="dxa"/>
          </w:tcPr>
          <w:p>
            <w:r>
              <w:t>CVSS 2.0：0.1-3.9；CVSS 3.0：0.1-3.9</w:t>
            </w:r>
          </w:p>
        </w:tc>
      </w:tr>
    </w:tbl>
    <w:p>
      <w:pPr>
        <w:pStyle w:val="7"/>
      </w:pPr>
      <w:r>
        <w:t>漏洞修复优先级</w:t>
      </w:r>
    </w:p>
    <w:p>
      <w:r>
        <w:drawing>
          <wp:inline distT="0" distB="0" distL="114300" distR="114300">
            <wp:extent cx="6119495" cy="3406775"/>
            <wp:effectExtent l="0" t="0" r="14605" b="317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7"/>
                    <a:stretch>
                      <a:fillRect/>
                    </a:stretch>
                  </pic:blipFill>
                  <pic:spPr>
                    <a:xfrm>
                      <a:off x="0" y="0"/>
                      <a:ext cx="6120000" cy="3407083"/>
                    </a:xfrm>
                    <a:prstGeom prst="rect">
                      <a:avLst/>
                    </a:prstGeom>
                  </pic:spPr>
                </pic:pic>
              </a:graphicData>
            </a:graphic>
          </wp:inline>
        </w:drawing>
      </w:r>
    </w:p>
    <w:p>
      <w:pPr>
        <w:pStyle w:val="4"/>
      </w:pPr>
      <w:bookmarkStart w:id="14" w:name="_Toc23127"/>
      <w:r>
        <w:t>附录 · 空状态组件参考</w:t>
      </w:r>
      <w:bookmarkEnd w:id="14"/>
    </w:p>
    <w:p>
      <w:r>
        <w:t>以下块展示无数据时的标准样式。开发在数据为空时显示对应组件，有数据时隐藏。本区块仅作设计交付参考，打印时不输出。</w:t>
      </w:r>
    </w:p>
    <w:p>
      <w:pPr>
        <w:pStyle w:val="7"/>
      </w:pPr>
      <w:r>
        <w:t>通用空状态</w:t>
      </w:r>
    </w:p>
    <w:p>
      <w:r>
        <w:t>暂无相关数据</w:t>
      </w:r>
    </w:p>
    <w:p>
      <w:r>
        <w:t>本期体检范围内未发现需展示的内容</w:t>
      </w:r>
    </w:p>
    <w:p>
      <w:pPr>
        <w:pStyle w:val="7"/>
      </w:pPr>
      <w:r>
        <w:t>表格空状态</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3213"/>
        <w:gridCol w:w="3213"/>
        <w:gridCol w:w="3213"/>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事件名称</w:t>
            </w:r>
          </w:p>
        </w:tc>
        <w:tc>
          <w:tcPr>
            <w:tcW w:w="3213" w:type="dxa"/>
          </w:tcPr>
          <w:p>
            <w:r>
              <w:t>受影响主机</w:t>
            </w:r>
          </w:p>
        </w:tc>
        <w:tc>
          <w:tcPr>
            <w:tcW w:w="3213" w:type="dxa"/>
          </w:tcPr>
          <w:p>
            <w:r>
              <w:t>处置状态</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9" w:type="dxa"/>
            <w:gridSpan w:val="3"/>
          </w:tcPr>
          <w:p>
            <w:r>
              <w:t>本期未发现高危及以上安全事件</w:t>
            </w:r>
          </w:p>
        </w:tc>
      </w:tr>
    </w:tbl>
    <w:p>
      <w:pPr>
        <w:pStyle w:val="7"/>
      </w:pPr>
      <w:r>
        <w:t>图表空状态</w:t>
      </w:r>
    </w:p>
    <w:p>
      <w:r>
        <w:drawing>
          <wp:inline distT="0" distB="0" distL="114300" distR="114300">
            <wp:extent cx="6119495" cy="1075055"/>
            <wp:effectExtent l="0" t="0" r="14605" b="1079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8"/>
                    <a:stretch>
                      <a:fillRect/>
                    </a:stretch>
                  </pic:blipFill>
                  <pic:spPr>
                    <a:xfrm>
                      <a:off x="0" y="0"/>
                      <a:ext cx="6120000" cy="1075330"/>
                    </a:xfrm>
                    <a:prstGeom prst="rect">
                      <a:avLst/>
                    </a:prstGeom>
                  </pic:spPr>
                </pic:pic>
              </a:graphicData>
            </a:graphic>
          </wp:inline>
        </w:drawing>
      </w:r>
    </w:p>
    <w:p>
      <w:pPr>
        <w:pStyle w:val="7"/>
      </w:pPr>
      <w:r>
        <w:t>评级缺失</w:t>
      </w:r>
    </w:p>
    <w:p>
      <w:r>
        <w:t>安全体检总体评级： —</w:t>
      </w:r>
    </w:p>
    <w:p>
      <w:r>
        <w:t>安全体检报告 2.0 · 设计预览稿 · 示例数据 · 严禁用于实际业务决策</w:t>
      </w:r>
    </w:p>
    <w:p>
      <w:r>
        <w:t>视觉规范：SeerDesign · 图表引擎：ECharts 5.5 · 打开方式：浏览器直接打开本 HTML 文件</w:t>
      </w:r>
    </w:p>
    <w:sectPr>
      <w:pgSz w:w="11906" w:h="16838"/>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3530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000000"/>
      <w:sz w:val="21"/>
      <w:szCs w:val="22"/>
      <w:lang w:val="en-US" w:eastAsia="en-US" w:bidi="ar-SA"/>
    </w:rPr>
  </w:style>
  <w:style w:type="paragraph" w:styleId="3">
    <w:name w:val="heading 1"/>
    <w:basedOn w:val="1"/>
    <w:next w:val="1"/>
    <w:link w:val="140"/>
    <w:qFormat/>
    <w:uiPriority w:val="9"/>
    <w:pPr>
      <w:keepNext/>
      <w:keepLines/>
      <w:spacing w:before="240" w:after="120"/>
      <w:outlineLvl w:val="0"/>
    </w:pPr>
    <w:rPr>
      <w:rFonts w:asciiTheme="majorHAnsi" w:hAnsiTheme="majorHAnsi" w:eastAsiaTheme="majorEastAsia" w:cstheme="majorBidi"/>
      <w:b/>
      <w:bCs/>
      <w:color w:val="000000"/>
      <w:sz w:val="44"/>
      <w:szCs w:val="28"/>
    </w:rPr>
  </w:style>
  <w:style w:type="paragraph" w:styleId="4">
    <w:name w:val="heading 2"/>
    <w:basedOn w:val="1"/>
    <w:next w:val="1"/>
    <w:link w:val="141"/>
    <w:unhideWhenUsed/>
    <w:qFormat/>
    <w:uiPriority w:val="9"/>
    <w:pPr>
      <w:keepNext/>
      <w:keepLines/>
      <w:spacing w:before="200" w:after="120"/>
      <w:outlineLvl w:val="1"/>
    </w:pPr>
    <w:rPr>
      <w:rFonts w:asciiTheme="majorHAnsi" w:hAnsiTheme="majorHAnsi" w:eastAsiaTheme="majorEastAsia" w:cstheme="majorBidi"/>
      <w:b/>
      <w:bCs/>
      <w:color w:val="000000"/>
      <w:sz w:val="36"/>
      <w:szCs w:val="26"/>
    </w:rPr>
  </w:style>
  <w:style w:type="paragraph" w:styleId="5">
    <w:name w:val="heading 3"/>
    <w:basedOn w:val="1"/>
    <w:next w:val="1"/>
    <w:link w:val="142"/>
    <w:unhideWhenUsed/>
    <w:qFormat/>
    <w:uiPriority w:val="9"/>
    <w:pPr>
      <w:keepNext/>
      <w:keepLines/>
      <w:spacing w:before="160" w:after="80"/>
      <w:outlineLvl w:val="2"/>
    </w:pPr>
    <w:rPr>
      <w:rFonts w:asciiTheme="majorHAnsi" w:hAnsiTheme="majorHAnsi" w:eastAsiaTheme="majorEastAsia" w:cstheme="majorBidi"/>
      <w:b/>
      <w:bCs/>
      <w:color w:val="000000"/>
      <w:sz w:val="32"/>
    </w:rPr>
  </w:style>
  <w:style w:type="paragraph" w:styleId="6">
    <w:name w:val="heading 4"/>
    <w:basedOn w:val="1"/>
    <w:next w:val="1"/>
    <w:link w:val="152"/>
    <w:semiHidden/>
    <w:unhideWhenUsed/>
    <w:qFormat/>
    <w:uiPriority w:val="9"/>
    <w:pPr>
      <w:keepNext/>
      <w:keepLines/>
      <w:spacing w:before="120" w:after="80"/>
      <w:outlineLvl w:val="3"/>
    </w:pPr>
    <w:rPr>
      <w:rFonts w:asciiTheme="majorHAnsi" w:hAnsiTheme="majorHAnsi" w:eastAsiaTheme="majorEastAsia" w:cstheme="majorBidi"/>
      <w:b/>
      <w:bCs/>
      <w:iCs/>
      <w:color w:val="000000"/>
      <w:sz w:val="28"/>
    </w:rPr>
  </w:style>
  <w:style w:type="paragraph" w:styleId="7">
    <w:name w:val="heading 5"/>
    <w:basedOn w:val="1"/>
    <w:next w:val="1"/>
    <w:link w:val="153"/>
    <w:semiHidden/>
    <w:unhideWhenUsed/>
    <w:qFormat/>
    <w:uiPriority w:val="9"/>
    <w:pPr>
      <w:keepNext/>
      <w:keepLines/>
      <w:spacing w:before="120" w:after="40"/>
      <w:outlineLvl w:val="4"/>
    </w:pPr>
    <w:rPr>
      <w:rFonts w:asciiTheme="majorHAnsi" w:hAnsiTheme="majorHAnsi" w:eastAsiaTheme="majorEastAsia" w:cstheme="majorBidi"/>
      <w:b/>
      <w:color w:val="000000"/>
      <w:sz w:val="24"/>
    </w:rPr>
  </w:style>
  <w:style w:type="paragraph" w:styleId="8">
    <w:name w:val="heading 6"/>
    <w:basedOn w:val="1"/>
    <w:next w:val="1"/>
    <w:link w:val="154"/>
    <w:semiHidden/>
    <w:unhideWhenUsed/>
    <w:qFormat/>
    <w:uiPriority w:val="9"/>
    <w:pPr>
      <w:keepNext/>
      <w:keepLines/>
      <w:spacing w:before="80" w:after="40"/>
      <w:outlineLvl w:val="5"/>
    </w:pPr>
    <w:rPr>
      <w:rFonts w:asciiTheme="majorHAnsi" w:hAnsiTheme="majorHAnsi" w:eastAsiaTheme="majorEastAsia" w:cstheme="majorBidi"/>
      <w:b/>
      <w:iCs/>
      <w:color w:val="000000"/>
      <w:sz w:val="22"/>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8"/>
    <w:unhideWhenUsed/>
    <w:uiPriority w:val="99"/>
    <w:pPr>
      <w:tabs>
        <w:tab w:val="center" w:pos="4680"/>
        <w:tab w:val="right" w:pos="9360"/>
      </w:tabs>
      <w:spacing w:after="0" w:line="240" w:lineRule="auto"/>
    </w:pPr>
  </w:style>
  <w:style w:type="paragraph" w:styleId="26">
    <w:name w:val="header"/>
    <w:basedOn w:val="1"/>
    <w:link w:val="137"/>
    <w:unhideWhenUsed/>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uiPriority w:val="99"/>
  </w:style>
  <w:style w:type="character" w:customStyle="1" w:styleId="138">
    <w:name w:val="Footer Char"/>
    <w:basedOn w:val="134"/>
    <w:link w:val="25"/>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邢嘉鑫</cp:lastModifiedBy>
  <dcterms:modified xsi:type="dcterms:W3CDTF">2026-07-02T07:56:19Z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842E5C3753814B4E824EA4FCA30101E4</vt:lpwstr>
  </property>
</Properties>
</file>