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测试001</w:t>
      </w:r>
    </w:p>
    <w:p>
      <w:pPr>
        <w:jc w:val="center"/>
      </w:pPr>
      <w:r>
        <w:rPr>
          <w:color w:val="000000"/>
          <w:sz w:val="28"/>
        </w:rPr>
        <w:t>2026-01-31 ~ 2026-07-08</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技术普及，企业业务系统复杂度不断提升，各类隐藏的安全漏洞、配置隐患难以靠日常运维及时发现，极易造成业务中断、数据泄露和经济损失。深信服与测试001协同构建 AI 深度赋能、运营服务辅助、SaaS 敏捷交付、低成本有实效的安全运营体系，为测试001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2026-01-31 ~ 2026-07-08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5163 个（已托管 5163 个），核心资产 14 个（已托管 0 个）， 7 天内即将退库资产 316 个</w:t>
      </w:r>
    </w:p>
    <w:p>
      <w:pPr/>
      <w:r>
        <w:t>【资产类型分布】服务器 288 个，终端 106 个，其他 4769 个</w:t>
      </w:r>
    </w:p>
    <w:p>
      <w:pPr/>
      <w:r>
        <w:t>【资产防护统计】在线 837 个，离线 549 个，已禁用 1 个，已降级 0 个，未防护资产 3776 个</w:t>
      </w:r>
    </w:p>
    <w:p>
      <w:pPr/>
      <w:r>
        <w:t>【暴露资产统计】服务器 141 个，终端 41 个，其他 29 个</w:t>
      </w:r>
    </w:p>
    <w:p>
      <w:pPr/>
      <w:r>
        <w:t>注：当前暴露资产包含资产台账中内网映射到公网的资产</w:t>
      </w:r>
    </w:p>
    <w:p>
      <w:pPr/>
      <w:r>
        <w:t>【托管服务统计】已托管资产 5163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未归类组/businessAoysfnw_Ghbvc 、 未归类组/41385 、 未归类组/12334业务西永 等」存在 0 个安全风险，其中【 未归类组/businessAoysfnw_Ghbvc 】风险较大，系统下的资产存在 0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0 起病毒木马与C2外联事件（其中 0 起C2外联事件、 0 起病毒木马事件），此类事件会造成主机失陷，可能引发员工的财务损失。</w:t>
            </w:r>
          </w:p>
          <w:p>
            <w:pPr/>
            <w:r>
              <w:rPr>
                <w:b/>
                <w:color w:val="000000"/>
                <w:sz w:val="22"/>
                <w:rFonts w:eastAsia="Microsoft YaHei"/>
              </w:rPr>
              <w:t>风险影响</w:t>
            </w:r>
          </w:p>
          <w:p>
            <w:pPr/>
            <w:r>
              <w:t>资产（如)遭受病毒攻击，员工主机失陷，攻击者还可以此为跳板横向渗透，威胁核心业务服务器安全。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22 起网站攻击与漏洞攻击，其中 0 起攻击成功</w:t>
            </w:r>
          </w:p>
          <w:p>
            <w:pPr/>
            <w:r>
              <w:rPr>
                <w:b/>
                <w:color w:val="000000"/>
                <w:sz w:val="22"/>
                <w:rFonts w:eastAsia="Microsoft YaHei"/>
              </w:rPr>
              <w:t>风险影响</w:t>
            </w:r>
          </w:p>
          <w:p>
            <w:pPr/>
            <w:r>
              <w:t>资产（如10.248.38.136)存在高危漏洞一旦被攻击者利用，主机会成为跳板，对其他核心系统进行横向攻击，可能产生业务中断、数据泄露等风险。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1597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18 个弱口令</w:t>
            </w:r>
          </w:p>
          <w:p>
            <w:pPr/>
            <w:r>
              <w:rPr>
                <w:b/>
                <w:color w:val="000000"/>
                <w:sz w:val="22"/>
                <w:rFonts w:eastAsia="Microsoft YaHei"/>
              </w:rPr>
              <w:t>风险影响</w:t>
            </w:r>
          </w:p>
          <w:p>
            <w:pPr/>
            <w:r>
              <w:t>资产（如192.168.30.190、10.128.165.26、10.128.165.150）存在弱口令，黑客可利用暴力破解等手段轻易获取主机权限，引发一系列严重安全事故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建议优先修改资产：10.128.165.26、192.168.30.190、10.128.165.151的弱口令，并添加多因素认证。因为这些资产属于核心业务。完整弱口令明细参考《弱口令清单.xlsx》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8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您目前10.128.160.200、10.128.165.10仍未安装aES，请尽快安装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10.128.165.151 暂无业务</w:t>
            </w:r>
          </w:p>
        </w:tc>
        <w:tc>
          <w:tcPr>
            <w:tcW w:type="dxa" w:w="3213"/>
          </w:tcPr>
          <w:p>
            <w:r>
              <w:t>1180</w:t>
            </w:r>
          </w:p>
        </w:tc>
        <w:tc>
          <w:tcPr>
            <w:tcW w:type="dxa" w:w="3213"/>
          </w:tcPr>
          <w:p>
            <w:r>
              <w:t>该资产共发现在765个高危及以上漏洞 该资产共发现1个弱口令 该资产尚未安装aES</w:t>
            </w:r>
          </w:p>
        </w:tc>
      </w:tr>
      <w:tr>
        <w:tc>
          <w:tcPr>
            <w:tcW w:type="dxa" w:w="3213"/>
          </w:tcPr>
          <w:p>
            <w:r>
              <w:t>10.128.165.53 暂无业务</w:t>
            </w:r>
          </w:p>
        </w:tc>
        <w:tc>
          <w:tcPr>
            <w:tcW w:type="dxa" w:w="3213"/>
          </w:tcPr>
          <w:p>
            <w:r>
              <w:t>814</w:t>
            </w:r>
          </w:p>
        </w:tc>
        <w:tc>
          <w:tcPr>
            <w:tcW w:type="dxa" w:w="3213"/>
          </w:tcPr>
          <w:p>
            <w:r>
              <w:t>该资产共发现在322个高危及以上漏洞 该资产尚未安装aES</w:t>
            </w:r>
          </w:p>
        </w:tc>
      </w:tr>
      <w:tr>
        <w:tc>
          <w:tcPr>
            <w:tcW w:type="dxa" w:w="3213"/>
          </w:tcPr>
          <w:p>
            <w:r>
              <w:t>10.128.160.200 未归类组/businessAoysfnw_Ghbvc</w:t>
            </w:r>
          </w:p>
        </w:tc>
        <w:tc>
          <w:tcPr>
            <w:tcW w:type="dxa" w:w="3213"/>
          </w:tcPr>
          <w:p>
            <w:r>
              <w:t>235</w:t>
            </w:r>
          </w:p>
        </w:tc>
        <w:tc>
          <w:tcPr>
            <w:tcW w:type="dxa" w:w="3213"/>
          </w:tcPr>
          <w:p>
            <w:r>
              <w:t>该资产共发现在81个高危及以上漏洞 该资产尚未安装aES</w:t>
            </w:r>
          </w:p>
        </w:tc>
      </w:tr>
      <w:tr>
        <w:tc>
          <w:tcPr>
            <w:tcW w:type="dxa" w:w="3213"/>
          </w:tcPr>
          <w:p>
            <w:r>
              <w:t>10.245.224.255 未归类组/41385</w:t>
            </w:r>
          </w:p>
        </w:tc>
        <w:tc>
          <w:tcPr>
            <w:tcW w:type="dxa" w:w="3213"/>
          </w:tcPr>
          <w:p>
            <w:r>
              <w:t>23</w:t>
            </w:r>
          </w:p>
        </w:tc>
        <w:tc>
          <w:tcPr>
            <w:tcW w:type="dxa" w:w="3213"/>
          </w:tcPr>
          <w:p>
            <w:r>
              <w:t>总计安全事件23个，其中，病毒木马&amp;C2外联0起，网站攻击&amp;漏洞攻击0起，其他事件23起 该资产已安装aES</w:t>
            </w:r>
          </w:p>
        </w:tc>
      </w:tr>
      <w:tr>
        <w:tc>
          <w:tcPr>
            <w:tcW w:type="dxa" w:w="3213"/>
          </w:tcPr>
          <w:p>
            <w:r>
              <w:t>192.168.50.2 暂无业务</w:t>
            </w:r>
          </w:p>
        </w:tc>
        <w:tc>
          <w:tcPr>
            <w:tcW w:type="dxa" w:w="3213"/>
          </w:tcPr>
          <w:p>
            <w:r>
              <w:t>12</w:t>
            </w:r>
          </w:p>
        </w:tc>
        <w:tc>
          <w:tcPr>
            <w:tcW w:type="dxa" w:w="3213"/>
          </w:tcPr>
          <w:p>
            <w:r>
              <w:t>总计安全事件12个，其中，病毒木马&amp;C2外联0起，网站攻击&amp;漏洞攻击0起，其他事件12起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10.128.165.151 、 10.128.165.53 。</w:t>
      </w:r>
    </w:p>
    <w:p>
      <w:pPr>
        <w:pStyle w:val="Heading2"/>
      </w:pPr>
      <w:r>
        <w:t>4. 风险详情</w:t>
      </w:r>
    </w:p>
    <w:p>
      <w:pPr/>
      <w:r>
        <w:t>风险汇总如下：</w:t>
      </w:r>
    </w:p>
    <w:p>
      <w:pPr/>
      <w:r>
        <w:t>近期处理告警共计 5167 个，其中监测并响应有效安全事件 383 起（严重事件 74 起、高危事件 73 起），其中托管资产事件 0 起，涉及资产 269 个；事件遏制 97 起（其中托管资产事件遏制 0 起）；已闭环 93 起，处置中 10 起（闭环率 24% ）。</w:t>
      </w:r>
    </w:p>
    <w:p>
      <w:pPr/>
      <w:r>
        <w:t>互联网业务总计发现风险 2 个（风险暴露面 0 个、漏洞 2 个、弱口令 0 个），其中高危及以上风险 1 个。</w:t>
      </w:r>
    </w:p>
    <w:p>
      <w:pPr/>
      <w:r>
        <w:t>内网核心业务总计发现风险 3944 个（漏洞 3926 个、弱口令 18 个），其中高危及以上风险 1596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205 个，其中深信服设备 98 个（AF 38 个、aES 48 个、SIP 3 个、STA 2 个、其他 7 个），第三方设备 107 个；经深信服 AI 智能数据解析，数据全部接入 XDR 平台，总计接收安全日志 0 条。</w:t>
      </w:r>
    </w:p>
    <w:p>
      <w:pPr/>
      <w:r>
        <w:t>【 AI辅助告警生成 】经深信服云端 AI 智能分析，生成有效告警 5167 条。</w:t>
      </w:r>
    </w:p>
    <w:p>
      <w:pPr/>
      <w:r>
        <w:t>【 安全GPT研判 】经深信服安全 GPT 研判，生成安全事件 383 起（告警消减率 0.9% ），其中严重事件 74 起、高危事件 73 起。</w:t>
      </w:r>
    </w:p>
    <w:p>
      <w:pPr/>
      <w:r>
        <w:t>【 云端专家7*24H持续守护 】所有托管资产的安全事件（ 0 起）由云端专家结合 AI 进行 7*24H 实时响应。响应包含：</w:t>
      </w:r>
    </w:p>
    <w:p>
      <w:pPr/>
      <w:r>
        <w:t>实时威胁对抗：对威胁进行实时监测和快速遏制，遏制事件 0 起。</w:t>
      </w:r>
    </w:p>
    <w:p>
      <w:pPr/>
      <w:r>
        <w:t>事件快速处置：对入侵成功事件快速应急响应，及时发现和处置了 0 起安全事件；事件平均响应时间 0 分钟，事件闭环率 0% 。</w:t>
      </w:r>
    </w:p>
    <w:p>
      <w:pPr>
        <w:pStyle w:val="Heading4"/>
      </w:pPr>
      <w:r>
        <w:t>4.1.2 安全事件分布</w:t>
      </w:r>
    </w:p>
    <w:p>
      <w:r>
        <w:drawing>
          <wp:inline xmlns:a="http://schemas.openxmlformats.org/drawingml/2006/main" xmlns:pic="http://schemas.openxmlformats.org/drawingml/2006/picture">
            <wp:extent cx="6120000" cy="3562916"/>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562916"/>
                    </a:xfrm>
                    <a:prstGeom prst="rect"/>
                  </pic:spPr>
                </pic:pic>
              </a:graphicData>
            </a:graphic>
          </wp:inline>
        </w:drawing>
      </w:r>
    </w:p>
    <w:p>
      <w:pPr/>
      <w:r>
        <w:t>近期后门攻击事件较多，后续深信服会重点关注病毒防护。</w:t>
      </w:r>
    </w:p>
    <w:p>
      <w:pPr/>
      <w:r>
        <w:t>未归类组/41385、未归类组/12334业务西永、未归类组/20538 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9636"/>
            <w:gridSpan w:val="4"/>
          </w:tcPr>
          <w:p>
            <w:r>
              <w:t>暂无 C2 外联事件</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9636"/>
            <w:gridSpan w:val="4"/>
          </w:tcPr>
          <w:p>
            <w:r>
              <w:t>暂无病毒木马事件</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22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2409"/>
          </w:tcPr>
          <w:p>
            <w:r>
              <w:t>主机存在PHP popen函数代码注入等内网横向行为</w:t>
            </w:r>
          </w:p>
        </w:tc>
        <w:tc>
          <w:tcPr>
            <w:tcW w:type="dxa" w:w="2409"/>
          </w:tcPr>
          <w:p>
            <w:r>
              <w:t>192.168.163.195</w:t>
            </w:r>
          </w:p>
        </w:tc>
        <w:tc>
          <w:tcPr>
            <w:tcW w:type="dxa" w:w="2409"/>
          </w:tcPr>
          <w:p>
            <w:r>
              <w:t>2026-06-12 20:08:27</w:t>
            </w:r>
          </w:p>
        </w:tc>
        <w:tc>
          <w:tcPr>
            <w:tcW w:type="dxa" w:w="2409"/>
          </w:tcPr>
          <w:p>
            <w:r>
              <w:t>已忽略</w:t>
            </w:r>
          </w:p>
        </w:tc>
      </w:tr>
      <w:tr>
        <w:tc>
          <w:tcPr>
            <w:tcW w:type="dxa" w:w="2409"/>
          </w:tcPr>
          <w:p>
            <w:r>
              <w:t>主机存在(MS17-010)Microsoft Windows SMB服务端信息泄露漏洞(CVE-2017-0147)</w:t>
            </w:r>
          </w:p>
        </w:tc>
        <w:tc>
          <w:tcPr>
            <w:tcW w:type="dxa" w:w="2409"/>
          </w:tcPr>
          <w:p>
            <w:r>
              <w:t>192.168.101.97</w:t>
            </w:r>
          </w:p>
        </w:tc>
        <w:tc>
          <w:tcPr>
            <w:tcW w:type="dxa" w:w="2409"/>
          </w:tcPr>
          <w:p>
            <w:r>
              <w:t>2026-06-16 20:01:30</w:t>
            </w:r>
          </w:p>
        </w:tc>
        <w:tc>
          <w:tcPr>
            <w:tcW w:type="dxa" w:w="2409"/>
          </w:tcPr>
          <w:p>
            <w:r>
              <w:t>待处置</w:t>
            </w:r>
          </w:p>
        </w:tc>
      </w:tr>
      <w:tr>
        <w:tc>
          <w:tcPr>
            <w:tcW w:type="dxa" w:w="2409"/>
          </w:tcPr>
          <w:p>
            <w:r>
              <w:t>主机存在PHP popen函数代码注入等内网横向行为</w:t>
            </w:r>
          </w:p>
        </w:tc>
        <w:tc>
          <w:tcPr>
            <w:tcW w:type="dxa" w:w="2409"/>
          </w:tcPr>
          <w:p>
            <w:r>
              <w:t>192.168.163.195</w:t>
            </w:r>
          </w:p>
        </w:tc>
        <w:tc>
          <w:tcPr>
            <w:tcW w:type="dxa" w:w="2409"/>
          </w:tcPr>
          <w:p>
            <w:r>
              <w:t>2026-06-12 20:08:27</w:t>
            </w:r>
          </w:p>
        </w:tc>
        <w:tc>
          <w:tcPr>
            <w:tcW w:type="dxa" w:w="2409"/>
          </w:tcPr>
          <w:p>
            <w:r>
              <w:t>已忽略</w:t>
            </w:r>
          </w:p>
        </w:tc>
      </w:tr>
      <w:tr>
        <w:tc>
          <w:tcPr>
            <w:tcW w:type="dxa" w:w="2409"/>
          </w:tcPr>
          <w:p>
            <w:r>
              <w:t>主机存在元数据查询语句SQL注入攻击</w:t>
            </w:r>
          </w:p>
        </w:tc>
        <w:tc>
          <w:tcPr>
            <w:tcW w:type="dxa" w:w="2409"/>
          </w:tcPr>
          <w:p>
            <w:r>
              <w:t>192.168.103.189</w:t>
            </w:r>
          </w:p>
        </w:tc>
        <w:tc>
          <w:tcPr>
            <w:tcW w:type="dxa" w:w="2409"/>
          </w:tcPr>
          <w:p>
            <w:r>
              <w:t>2026-06-12 21:20:04</w:t>
            </w:r>
          </w:p>
        </w:tc>
        <w:tc>
          <w:tcPr>
            <w:tcW w:type="dxa" w:w="2409"/>
          </w:tcPr>
          <w:p>
            <w:r>
              <w:t>已忽略</w:t>
            </w:r>
          </w:p>
        </w:tc>
      </w:tr>
      <w:tr>
        <w:tc>
          <w:tcPr>
            <w:tcW w:type="dxa" w:w="2409"/>
          </w:tcPr>
          <w:p>
            <w:r>
              <w:t>主机存在泛微OA 远程代码执行漏洞攻击</w:t>
            </w:r>
          </w:p>
        </w:tc>
        <w:tc>
          <w:tcPr>
            <w:tcW w:type="dxa" w:w="2409"/>
          </w:tcPr>
          <w:p>
            <w:r>
              <w:t>192.168.189.189</w:t>
            </w:r>
          </w:p>
        </w:tc>
        <w:tc>
          <w:tcPr>
            <w:tcW w:type="dxa" w:w="2409"/>
          </w:tcPr>
          <w:p>
            <w:r>
              <w:t>2026-06-14 20:00:21</w:t>
            </w:r>
          </w:p>
        </w:tc>
        <w:tc>
          <w:tcPr>
            <w:tcW w:type="dxa" w:w="2409"/>
          </w:tcPr>
          <w:p>
            <w:r>
              <w:t>已忽略</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524166"/>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524166"/>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漏洞利用攻击如果未及时发现和对抗，可能导致核心系统敏感数据泄露、主机被控挖矿、数据勒索加密等重大危害事件</w:t>
            </w:r>
          </w:p>
        </w:tc>
      </w:tr>
      <w:tr>
        <w:tc>
          <w:tcPr>
            <w:tcW w:type="dxa" w:w="4819"/>
          </w:tcPr>
          <w:p>
            <w:r>
              <w:t>潜在损失规避评估（影响面）</w:t>
            </w:r>
          </w:p>
        </w:tc>
        <w:tc>
          <w:tcPr>
            <w:tcW w:type="dxa" w:w="4819"/>
          </w:tcPr>
          <w:p>
            <w:r>
              <w:t>2 个高危可利用漏洞*100万元≈ 200 万元（基于行业公开事例评估测算，单个漏洞利用攻击入侵成功导致的平均安全损失约 100 万元）</w:t>
            </w:r>
          </w:p>
        </w:tc>
      </w:tr>
      <w:tr>
        <w:tc>
          <w:tcPr>
            <w:tcW w:type="dxa" w:w="4819"/>
          </w:tcPr>
          <w:p>
            <w:r>
              <w:t>实际案例损失情况</w:t>
            </w:r>
          </w:p>
        </w:tc>
        <w:tc>
          <w:tcPr>
            <w:tcW w:type="dxa" w:w="4819"/>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2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6920416"/>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6920416"/>
                    </a:xfrm>
                    <a:prstGeom prst="rect"/>
                  </pic:spPr>
                </pic:pic>
              </a:graphicData>
            </a:graphic>
          </wp:inline>
        </w:drawing>
      </w:r>
    </w:p>
    <w:p>
      <w:pPr/>
      <w:r>
        <w:t>暴露面详情见《暴露面清单.xlsx》</w:t>
      </w:r>
    </w:p>
    <w:p>
      <w:pPr>
        <w:pStyle w:val="Heading5"/>
      </w:pPr>
      <w:r>
        <w:t>漏洞</w:t>
      </w:r>
    </w:p>
    <w:p>
      <w:pPr/>
      <w:r>
        <w:t>本次体检共发现互联网漏洞 2 个 （严重 0 个、高危 1 个、中危 1 个、低危 0 个） ，关联资产 2 个。</w:t>
      </w:r>
    </w:p>
    <w:p>
      <w:pPr/>
      <w:r>
        <w:t>从漏洞修复优先级视角统计，急需修复 1 个、尽快修复 1 个、建议修复 0 个。</w:t>
      </w:r>
    </w:p>
    <w:p>
      <w:r>
        <w:t>互联网漏洞风险资产TOP 5如下： 序号 风险资产 漏洞修复优先级 1 61.155.182.123 急需修复： 1 个 尽快修复： 0 个 建议修复： 0 个 2 10.227.34.203 急需修复： 0 个 尽快修复： 1 个 建议修复： 0 个</w:t>
      </w:r>
    </w:p>
    <w:p>
      <w:pPr/>
      <w:r>
        <w:t>互联网漏洞详情见《漏洞清单.xlsx》</w:t>
      </w:r>
    </w:p>
    <w:p>
      <w:pPr>
        <w:pStyle w:val="Heading5"/>
      </w:pPr>
      <w:r>
        <w:t>弱口令</w:t>
      </w:r>
    </w:p>
    <w:p>
      <w:pPr/>
      <w:r>
        <w:t>本次体检共发现 0 个资产存在弱口令 0 个，分布如下：</w:t>
      </w:r>
    </w:p>
    <w:p>
      <w:r>
        <w:drawing>
          <wp:inline xmlns:a="http://schemas.openxmlformats.org/drawingml/2006/main" xmlns:pic="http://schemas.openxmlformats.org/drawingml/2006/picture">
            <wp:extent cx="6120000" cy="2542916"/>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2542916"/>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3926 个 （严重 489 个、高危 1107 个、中危 1563 个、低危 767 个） ，关联业务 0 个，关联资产 82 个。</w:t>
      </w:r>
    </w:p>
    <w:p>
      <w:pPr/>
      <w:r>
        <w:t>从漏洞修复优先级视角统计，急需修复 0 个、尽快修复 3159 个、建议修复 767 个。</w:t>
      </w:r>
    </w:p>
    <w:p>
      <w:r>
        <w:t>业务系统TOP 5如下： 序号 风险资产 漏洞修复优先级 内网漏洞风险资产TOP 5如下： 序号 风险资产 漏洞修复优先级 1 10.128.165.151 急需修复： 0 个 尽快修复： 1117 个 建议修复： 62 个 2 10.128.165.53 急需修复： 0 个 尽快修复： 760 个 建议修复： 54 个 3 10.128.160.200 急需修复： 0 个 尽快修复： 183 个 建议修复： 52 个 4 10.128.161.94 急需修复： 0 个 尽快修复： 74 个 建议修复： 8 个 5 10.128.160.241 急需修复： 0 个 尽快修复： 60 个 建议修复： 9 个</w:t>
      </w:r>
    </w:p>
    <w:p>
      <w:pPr/>
      <w:r>
        <w:t>内网漏洞详情见《漏洞清单.xlsx》，也可访问 XDR 平台--&gt;风险管理--&gt;脆弱性--&gt;漏洞</w:t>
      </w:r>
    </w:p>
    <w:p>
      <w:pPr>
        <w:pStyle w:val="Heading5"/>
      </w:pPr>
      <w:r>
        <w:t>弱口令</w:t>
      </w:r>
    </w:p>
    <w:p>
      <w:pPr/>
      <w:r>
        <w:t>本次体检共发现 11 个资产存在弱口令 18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