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2026-06-23 ~ 2026-07-08</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2026-06-23 ~ 2026-07-08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5165 个（已托管 5165 个），核心资产 8 个（已托管 1 个）， 7 天内即将退库资产 305 个</w:t>
      </w:r>
    </w:p>
    <w:p>
      <w:pPr/>
      <w:r>
        <w:t>【资产类型分布】服务器 284 个，终端 106 个，其他 4775 个</w:t>
      </w:r>
    </w:p>
    <w:p>
      <w:pPr/>
      <w:r>
        <w:t>【资产防护统计】在线 837 个，离线 549 个，已禁用 1 个，已降级 0 个，未防护资产 6 个</w:t>
      </w:r>
    </w:p>
    <w:p>
      <w:pPr/>
      <w:r>
        <w:t>【暴露资产统计】服务器 155 个，终端 99 个，其他 697 个</w:t>
      </w:r>
    </w:p>
    <w:p>
      <w:pPr/>
      <w:r>
        <w:t>注：当前暴露资产包含资产台账中内网映射到公网的资产</w:t>
      </w:r>
    </w:p>
    <w:p>
      <w:pPr/>
      <w:r>
        <w:t>【托管服务统计】已托管资产 5165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 、 等」存在 359 个安全风险，其中【 】风险较大，系统下的资产存在 358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0 起病毒木马与C2外联事件（其中 0 起C2外联事件、 0 起病毒木马事件），此类事件会造成主机失陷，可能引发员工的财务损失。</w:t>
            </w:r>
          </w:p>
          <w:p>
            <w:pPr/>
            <w:r>
              <w:rPr>
                <w:b/>
                <w:color w:val="000000"/>
                <w:sz w:val="22"/>
                <w:rFonts w:eastAsia="Microsoft YaHei"/>
              </w:rPr>
              <w:t>风险影响</w:t>
            </w:r>
          </w:p>
          <w:p>
            <w:pPr/>
            <w:r>
              <w:t>资产（如)遭受病毒攻击，员工主机失陷，攻击者还可以此为跳板横向渗透，威胁核心业务服务器安全。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0 起网站攻击与漏洞攻击，其中 0 起攻击成功</w:t>
            </w:r>
          </w:p>
          <w:p>
            <w:pPr/>
            <w:r>
              <w:rPr>
                <w:b/>
                <w:color w:val="000000"/>
                <w:sz w:val="22"/>
                <w:rFonts w:eastAsia="Microsoft YaHei"/>
              </w:rPr>
              <w:t>风险影响</w:t>
            </w:r>
          </w:p>
          <w:p>
            <w:pPr/>
            <w:r>
              <w:t>资产（如)存在高危漏洞一旦被攻击者利用，主机会成为跳板，对其他核心系统进行横向攻击，可能产生业务中断、数据泄露等风险。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478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11 个弱口令</w:t>
            </w:r>
          </w:p>
          <w:p>
            <w:pPr/>
            <w:r>
              <w:rPr>
                <w:b/>
                <w:color w:val="000000"/>
                <w:sz w:val="22"/>
                <w:rFonts w:eastAsia="Microsoft YaHei"/>
              </w:rPr>
              <w:t>风险影响</w:t>
            </w:r>
          </w:p>
          <w:p>
            <w:pPr/>
            <w:r>
              <w:t>资产（如10.128.165.26、121.46.24.136、10.128.165.150）存在弱口令，黑客可利用暴力破解等手段轻易获取主机权限，引发一系列严重安全事故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建议优先修改资产：121.46.24.136、10.128.165.26、10.128.165.52的弱口令，并添加多因素认证。完整弱口令明细参考《弱口令清单.xlsx》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3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您目前10.128.160.200、10.128.165.10仍未安装aES，请尽快安装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10.128.165.151 已托管 暂无业务</w:t>
            </w:r>
          </w:p>
        </w:tc>
        <w:tc>
          <w:tcPr>
            <w:tcW w:type="dxa" w:w="3213"/>
          </w:tcPr>
          <w:p>
            <w:r>
              <w:t>337</w:t>
            </w:r>
          </w:p>
        </w:tc>
        <w:tc>
          <w:tcPr>
            <w:tcW w:type="dxa" w:w="3213"/>
          </w:tcPr>
          <w:p>
            <w:r>
              <w:t>该资产共发现在336个高危及以上漏洞 该资产共发现1个弱口令 该资产尚未安装aES</w:t>
            </w:r>
          </w:p>
        </w:tc>
      </w:tr>
      <w:tr>
        <w:tc>
          <w:tcPr>
            <w:tcW w:type="dxa" w:w="3213"/>
          </w:tcPr>
          <w:p>
            <w:r>
              <w:t>10.128.165.53 未托管 暂无业务</w:t>
            </w:r>
          </w:p>
        </w:tc>
        <w:tc>
          <w:tcPr>
            <w:tcW w:type="dxa" w:w="3213"/>
          </w:tcPr>
          <w:p>
            <w:r>
              <w:t>103</w:t>
            </w:r>
          </w:p>
        </w:tc>
        <w:tc>
          <w:tcPr>
            <w:tcW w:type="dxa" w:w="3213"/>
          </w:tcPr>
          <w:p>
            <w:r>
              <w:t>该资产共发现在103个高危及以上漏洞 该资产尚未安装aES</w:t>
            </w:r>
          </w:p>
        </w:tc>
      </w:tr>
      <w:tr>
        <w:tc>
          <w:tcPr>
            <w:tcW w:type="dxa" w:w="3213"/>
          </w:tcPr>
          <w:p>
            <w:r>
              <w:t>10.128.160.200 已托管 暂无业务</w:t>
            </w:r>
          </w:p>
        </w:tc>
        <w:tc>
          <w:tcPr>
            <w:tcW w:type="dxa" w:w="3213"/>
          </w:tcPr>
          <w:p>
            <w:r>
              <w:t>22</w:t>
            </w:r>
          </w:p>
        </w:tc>
        <w:tc>
          <w:tcPr>
            <w:tcW w:type="dxa" w:w="3213"/>
          </w:tcPr>
          <w:p>
            <w:r>
              <w:t>该资产共发现在22个高危及以上漏洞 该资产尚未安装aES</w:t>
            </w:r>
          </w:p>
        </w:tc>
      </w:tr>
      <w:tr>
        <w:tc>
          <w:tcPr>
            <w:tcW w:type="dxa" w:w="3213"/>
          </w:tcPr>
          <w:p>
            <w:r>
              <w:t>192.168.50.2 暂无业务</w:t>
            </w:r>
          </w:p>
        </w:tc>
        <w:tc>
          <w:tcPr>
            <w:tcW w:type="dxa" w:w="3213"/>
          </w:tcPr>
          <w:p>
            <w:r>
              <w:t>11</w:t>
            </w:r>
          </w:p>
        </w:tc>
        <w:tc>
          <w:tcPr>
            <w:tcW w:type="dxa" w:w="3213"/>
          </w:tcPr>
          <w:p>
            <w:r>
              <w:t>总计安全事件11个，其中，病毒木马&amp;C2外联0起，网站攻击&amp;漏洞攻击0起，其他事件11起 该资产尚未安装aES</w:t>
            </w:r>
          </w:p>
        </w:tc>
      </w:tr>
      <w:tr>
        <w:tc>
          <w:tcPr>
            <w:tcW w:type="dxa" w:w="3213"/>
          </w:tcPr>
          <w:p>
            <w:r>
              <w:t>10.128.160.241 未托管 暂无业务</w:t>
            </w:r>
          </w:p>
        </w:tc>
        <w:tc>
          <w:tcPr>
            <w:tcW w:type="dxa" w:w="3213"/>
          </w:tcPr>
          <w:p>
            <w:r>
              <w:t>6</w:t>
            </w:r>
          </w:p>
        </w:tc>
        <w:tc>
          <w:tcPr>
            <w:tcW w:type="dxa" w:w="3213"/>
          </w:tcPr>
          <w:p>
            <w:r>
              <w:t>该资产共发现在6个高危及以上漏洞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10.128.165.151 、 10.128.165.53 。</w:t>
      </w:r>
    </w:p>
    <w:p>
      <w:pPr>
        <w:pStyle w:val="Heading2"/>
      </w:pPr>
      <w:r>
        <w:t>4. 风险详情</w:t>
      </w:r>
    </w:p>
    <w:p>
      <w:pPr/>
      <w:r>
        <w:t>风险汇总如下：</w:t>
      </w:r>
    </w:p>
    <w:p>
      <w:pPr/>
      <w:r>
        <w:t>近期处理告警共计 1318 个，其中监测并响应有效安全事件 151 起（严重事件 11 起、高危事件 38 起），其中托管资产事件 0 起，涉及资产 112 个；事件遏制 65 起（其中托管资产事件遏制 0 起）；已闭环 62 起，处置中 2 起（闭环率 41% ）。</w:t>
      </w:r>
    </w:p>
    <w:p>
      <w:pPr/>
      <w:r>
        <w:t>互联网业务总计发现风险 2 个（风险暴露面 0 个、漏洞 0 个、弱口令 2 个），其中高危及以上风险 0 个。</w:t>
      </w:r>
    </w:p>
    <w:p>
      <w:pPr/>
      <w:r>
        <w:t>内网核心业务总计发现风险 487 个（漏洞 478 个、弱口令 9 个），其中高危及以上风险 478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205 个，其中深信服设备 98 个（AF 38 个、aES 48 个、SIP 3 个、STA 2 个、其他 7 个），第三方设备 107 个；经深信服 AI 智能数据解析，数据全部接入 XDR 平台，总计接收安全日志 0 条。</w:t>
      </w:r>
    </w:p>
    <w:p>
      <w:pPr/>
      <w:r>
        <w:t>【 AI辅助告警生成 】经深信服云端 AI 智能分析，生成有效告警 1318 条。</w:t>
      </w:r>
    </w:p>
    <w:p>
      <w:pPr/>
      <w:r>
        <w:t>【 安全GPT研判 】经深信服安全 GPT 研判，生成安全事件 151 起（告警消减率 0.9% ），其中严重事件 11 起、高危事件 38 起。</w:t>
      </w:r>
    </w:p>
    <w:p>
      <w:pPr/>
      <w:r>
        <w:t>【 云端专家7*24H持续守护 】所有托管资产的安全事件（ 0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336249"/>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336249"/>
                    </a:xfrm>
                    <a:prstGeom prst="rect"/>
                  </pic:spPr>
                </pic:pic>
              </a:graphicData>
            </a:graphic>
          </wp:inline>
        </w:drawing>
      </w:r>
    </w:p>
    <w:p>
      <w:pPr/>
      <w:r>
        <w:t>近期后门攻击事件较多，后续深信服会重点关注病毒防护。</w:t>
      </w:r>
    </w:p>
    <w:p>
      <w:pPr/>
      <w:r>
        <w:t>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9636"/>
            <w:gridSpan w:val="4"/>
          </w:tcPr>
          <w:p>
            <w:r>
              <w:t>暂无 C2 外联事件</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9636"/>
            <w:gridSpan w:val="4"/>
          </w:tcPr>
          <w:p>
            <w:r>
              <w:t>暂无病毒木马事件</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0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9636"/>
            <w:gridSpan w:val="4"/>
          </w:tcPr>
          <w:p>
            <w:r>
              <w:t>暂无漏洞利用事件</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8840000"/>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8840000"/>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6920416"/>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6920416"/>
                    </a:xfrm>
                    <a:prstGeom prst="rect"/>
                  </pic:spPr>
                </pic:pic>
              </a:graphicData>
            </a:graphic>
          </wp:inline>
        </w:drawing>
      </w:r>
    </w:p>
    <w:p>
      <w:pPr/>
      <w:r>
        <w:t>暴露面详情见《暴露面清单.xlsx》</w:t>
      </w:r>
    </w:p>
    <w:p>
      <w:pPr>
        <w:pStyle w:val="Heading5"/>
      </w:pPr>
      <w:r>
        <w:t>漏洞</w:t>
      </w:r>
    </w:p>
    <w:p>
      <w:pPr/>
      <w:r>
        <w:t>本次体检共发现互联网漏洞 0 个（严重 0 个、高危 0 个、中危 0 个、低危 0 个），关联资产 0 个。</w:t>
      </w:r>
    </w:p>
    <w:p>
      <w:pPr/>
      <w:r>
        <w:t>从漏洞修复优先级视角统计，急需修复 0 个、尽快修复 0 个、建议修复 0 个。</w:t>
      </w:r>
    </w:p>
    <w:p>
      <w:pPr/>
      <w:r>
        <w:t>互联网漏洞风险资产TOP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互联网漏洞详情见《漏洞清单.xlsx》</w:t>
      </w:r>
    </w:p>
    <w:p>
      <w:pPr>
        <w:pStyle w:val="Heading5"/>
      </w:pPr>
      <w:r>
        <w:t>弱口令</w:t>
      </w:r>
    </w:p>
    <w:p>
      <w:pPr/>
      <w:r>
        <w:t>本次体检共发现 1 个资产存在弱口令 2 个，分布如下：</w:t>
      </w:r>
    </w:p>
    <w:p>
      <w:r>
        <w:drawing>
          <wp:inline xmlns:a="http://schemas.openxmlformats.org/drawingml/2006/main" xmlns:pic="http://schemas.openxmlformats.org/drawingml/2006/picture">
            <wp:extent cx="6120000" cy="4101249"/>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4101249"/>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478 个（严重 478 个、高危 0 个、中危 0 个、低危 0 个），关联业务 0 个，关联资产 13 个。</w:t>
      </w:r>
    </w:p>
    <w:p>
      <w:pPr/>
      <w:r>
        <w:t>从漏洞修复优先级视角统计，急需修复 0 个、尽快修复 478 个、建议修复 0 个。</w:t>
      </w:r>
    </w:p>
    <w:p>
      <w:pPr/>
      <w:r>
        <w:t>业务系统TOP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bl>
    <w:p>
      <w:pPr/>
      <w:r>
        <w:t>内网漏洞风险资产TOP 5如下：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序号</w:t>
            </w:r>
          </w:p>
        </w:tc>
        <w:tc>
          <w:tcPr>
            <w:tcW w:type="dxa" w:w="3213"/>
          </w:tcPr>
          <w:p>
            <w:r>
              <w:t>风险资产</w:t>
            </w:r>
          </w:p>
        </w:tc>
        <w:tc>
          <w:tcPr>
            <w:tcW w:type="dxa" w:w="3213"/>
          </w:tcPr>
          <w:p>
            <w:r>
              <w:t>漏洞修复优先级</w:t>
            </w:r>
          </w:p>
        </w:tc>
      </w:tr>
      <w:tr>
        <w:tc>
          <w:tcPr>
            <w:tcW w:type="dxa" w:w="3213"/>
          </w:tcPr>
          <w:p>
            <w:r>
              <w:t>1</w:t>
            </w:r>
          </w:p>
        </w:tc>
        <w:tc>
          <w:tcPr>
            <w:tcW w:type="dxa" w:w="3213"/>
          </w:tcPr>
          <w:p>
            <w:r>
              <w:t>10.128.165.151</w:t>
            </w:r>
          </w:p>
        </w:tc>
        <w:tc>
          <w:tcPr>
            <w:tcW w:type="dxa" w:w="3213"/>
          </w:tcPr>
          <w:p>
            <w:r>
              <w:t>急需修复： 0 个 尽快修复： 336 个 建议修复： 0 个</w:t>
            </w:r>
          </w:p>
        </w:tc>
      </w:tr>
      <w:tr>
        <w:tc>
          <w:tcPr>
            <w:tcW w:type="dxa" w:w="3213"/>
          </w:tcPr>
          <w:p>
            <w:r>
              <w:t>2</w:t>
            </w:r>
          </w:p>
        </w:tc>
        <w:tc>
          <w:tcPr>
            <w:tcW w:type="dxa" w:w="3213"/>
          </w:tcPr>
          <w:p>
            <w:r>
              <w:t>10.128.165.53</w:t>
            </w:r>
          </w:p>
        </w:tc>
        <w:tc>
          <w:tcPr>
            <w:tcW w:type="dxa" w:w="3213"/>
          </w:tcPr>
          <w:p>
            <w:r>
              <w:t>急需修复： 0 个 尽快修复： 103 个 建议修复： 0 个</w:t>
            </w:r>
          </w:p>
        </w:tc>
      </w:tr>
      <w:tr>
        <w:tc>
          <w:tcPr>
            <w:tcW w:type="dxa" w:w="3213"/>
          </w:tcPr>
          <w:p>
            <w:r>
              <w:t>3</w:t>
            </w:r>
          </w:p>
        </w:tc>
        <w:tc>
          <w:tcPr>
            <w:tcW w:type="dxa" w:w="3213"/>
          </w:tcPr>
          <w:p>
            <w:r>
              <w:t>10.128.160.200</w:t>
            </w:r>
          </w:p>
        </w:tc>
        <w:tc>
          <w:tcPr>
            <w:tcW w:type="dxa" w:w="3213"/>
          </w:tcPr>
          <w:p>
            <w:r>
              <w:t>急需修复： 0 个 尽快修复： 22 个 建议修复： 0 个</w:t>
            </w:r>
          </w:p>
        </w:tc>
      </w:tr>
      <w:tr>
        <w:tc>
          <w:tcPr>
            <w:tcW w:type="dxa" w:w="3213"/>
          </w:tcPr>
          <w:p>
            <w:r>
              <w:t>4</w:t>
            </w:r>
          </w:p>
        </w:tc>
        <w:tc>
          <w:tcPr>
            <w:tcW w:type="dxa" w:w="3213"/>
          </w:tcPr>
          <w:p>
            <w:r>
              <w:t>10.128.160.241</w:t>
            </w:r>
          </w:p>
        </w:tc>
        <w:tc>
          <w:tcPr>
            <w:tcW w:type="dxa" w:w="3213"/>
          </w:tcPr>
          <w:p>
            <w:r>
              <w:t>急需修复： 0 个 尽快修复： 6 个 建议修复： 0 个</w:t>
            </w:r>
          </w:p>
        </w:tc>
      </w:tr>
      <w:tr>
        <w:tc>
          <w:tcPr>
            <w:tcW w:type="dxa" w:w="3213"/>
          </w:tcPr>
          <w:p>
            <w:r>
              <w:t>5</w:t>
            </w:r>
          </w:p>
        </w:tc>
        <w:tc>
          <w:tcPr>
            <w:tcW w:type="dxa" w:w="3213"/>
          </w:tcPr>
          <w:p>
            <w:r>
              <w:t>10.128.165.26</w:t>
            </w:r>
          </w:p>
        </w:tc>
        <w:tc>
          <w:tcPr>
            <w:tcW w:type="dxa" w:w="3213"/>
          </w:tcPr>
          <w:p>
            <w:r>
              <w:t>急需修复： 0 个 尽快修复： 2 个 建议修复： 0 个</w:t>
            </w:r>
          </w:p>
        </w:tc>
      </w:tr>
    </w:tbl>
    <w:p>
      <w:pPr/>
      <w:r>
        <w:t>内网漏洞详情见《漏洞清单.xlsx》，也可访问 XDR 平台--&gt;风险管理--&gt;脆弱性--&gt;漏洞</w:t>
      </w:r>
    </w:p>
    <w:p>
      <w:pPr>
        <w:pStyle w:val="Heading5"/>
      </w:pPr>
      <w:r>
        <w:t>弱口令</w:t>
      </w:r>
    </w:p>
    <w:p>
      <w:pPr/>
      <w:r>
        <w:t>本次体检共发现 8 个资产存在弱口令 9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