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7C9" w:rsidRDefault="00852F72" w:rsidP="00F261C7">
      <w:pPr>
        <w:pStyle w:val="a3"/>
      </w:pPr>
      <w:r>
        <w:t>Sys-Computational Finance</w:t>
      </w:r>
    </w:p>
    <w:p w:rsidR="00852F72" w:rsidRDefault="00852F72" w:rsidP="00F261C7">
      <w:pPr>
        <w:pStyle w:val="a3"/>
      </w:pPr>
      <w:r>
        <w:t>Final Project</w:t>
      </w:r>
    </w:p>
    <w:p w:rsidR="00852F72" w:rsidRDefault="00852F72" w:rsidP="002140C4">
      <w:pPr>
        <w:pStyle w:val="a4"/>
      </w:pPr>
      <w:r>
        <w:t>Quan Zhou</w:t>
      </w:r>
      <w:r w:rsidR="002140C4">
        <w:t xml:space="preserve">   GTID:</w:t>
      </w:r>
      <w:r w:rsidR="0034322D">
        <w:t xml:space="preserve"> </w:t>
      </w:r>
      <w:r w:rsidR="002140C4">
        <w:t>903163827</w:t>
      </w:r>
    </w:p>
    <w:p w:rsidR="00817572" w:rsidRPr="00817572" w:rsidRDefault="00153E65" w:rsidP="00817572">
      <w:pPr>
        <w:pStyle w:val="1"/>
        <w:numPr>
          <w:ilvl w:val="0"/>
          <w:numId w:val="1"/>
        </w:numPr>
      </w:pPr>
      <w:r>
        <w:t>Problem Description</w:t>
      </w:r>
    </w:p>
    <w:p w:rsidR="004A0899" w:rsidRPr="00065B9D" w:rsidRDefault="009433E4" w:rsidP="004A0899">
      <w:pPr>
        <w:rPr>
          <w:b/>
          <w:sz w:val="28"/>
        </w:rPr>
      </w:pPr>
      <w:r w:rsidRPr="00065B9D">
        <w:rPr>
          <w:b/>
          <w:sz w:val="28"/>
        </w:rPr>
        <w:t xml:space="preserve">Topic 1:  Gamma Scalping Trading Strategy </w:t>
      </w:r>
    </w:p>
    <w:p w:rsidR="005A343D" w:rsidRDefault="009433E4" w:rsidP="005A343D">
      <w:pPr>
        <w:ind w:firstLine="720"/>
      </w:pPr>
      <w:r w:rsidRPr="009433E4">
        <w:t>Design a C++ or a Python program to implement the Gamma scalping trading strategy involving one underlying stock and two at-the-money (ATM) options (one Call and one Put)</w:t>
      </w:r>
      <w:r w:rsidR="004940E7">
        <w:t xml:space="preserve">. </w:t>
      </w:r>
    </w:p>
    <w:p w:rsidR="00E64096" w:rsidRDefault="00E64096" w:rsidP="00E64096">
      <w:pPr>
        <w:pStyle w:val="1"/>
        <w:numPr>
          <w:ilvl w:val="0"/>
          <w:numId w:val="1"/>
        </w:numPr>
      </w:pPr>
      <w:r>
        <w:t>Code Structure Description</w:t>
      </w:r>
    </w:p>
    <w:tbl>
      <w:tblPr>
        <w:tblStyle w:val="a6"/>
        <w:tblW w:w="8856" w:type="dxa"/>
        <w:tblLook w:val="04A0" w:firstRow="1" w:lastRow="0" w:firstColumn="1" w:lastColumn="0" w:noHBand="0" w:noVBand="1"/>
      </w:tblPr>
      <w:tblGrid>
        <w:gridCol w:w="2952"/>
        <w:gridCol w:w="5904"/>
      </w:tblGrid>
      <w:tr w:rsidR="006A1646" w:rsidTr="00A318C0">
        <w:tc>
          <w:tcPr>
            <w:tcW w:w="2952" w:type="dxa"/>
          </w:tcPr>
          <w:p w:rsidR="006A1646" w:rsidRDefault="006A1646" w:rsidP="00A318C0">
            <w:pPr>
              <w:jc w:val="center"/>
            </w:pPr>
            <w:r>
              <w:t>Class Name</w:t>
            </w:r>
          </w:p>
        </w:tc>
        <w:tc>
          <w:tcPr>
            <w:tcW w:w="5904" w:type="dxa"/>
          </w:tcPr>
          <w:p w:rsidR="006A1646" w:rsidRDefault="006A1646" w:rsidP="00BB3794">
            <w:pPr>
              <w:jc w:val="center"/>
            </w:pPr>
            <w:r>
              <w:t>Description</w:t>
            </w:r>
          </w:p>
        </w:tc>
      </w:tr>
      <w:tr w:rsidR="006A1646" w:rsidTr="00A318C0">
        <w:tc>
          <w:tcPr>
            <w:tcW w:w="2952" w:type="dxa"/>
          </w:tcPr>
          <w:p w:rsidR="006A1646" w:rsidRDefault="006A1646" w:rsidP="00A318C0">
            <w:pPr>
              <w:jc w:val="center"/>
            </w:pPr>
            <w:r>
              <w:t>CsvReader</w:t>
            </w:r>
          </w:p>
        </w:tc>
        <w:tc>
          <w:tcPr>
            <w:tcW w:w="5904" w:type="dxa"/>
          </w:tcPr>
          <w:p w:rsidR="006A1646" w:rsidRDefault="006A1646" w:rsidP="00666056">
            <w:r>
              <w:t xml:space="preserve">Read </w:t>
            </w:r>
            <w:r w:rsidR="00666056">
              <w:t xml:space="preserve">data from csv files. </w:t>
            </w:r>
          </w:p>
        </w:tc>
      </w:tr>
      <w:tr w:rsidR="006A1646" w:rsidTr="00A318C0">
        <w:tc>
          <w:tcPr>
            <w:tcW w:w="2952" w:type="dxa"/>
          </w:tcPr>
          <w:p w:rsidR="006A1646" w:rsidRDefault="00666056" w:rsidP="00A318C0">
            <w:pPr>
              <w:jc w:val="center"/>
            </w:pPr>
            <w:r>
              <w:t>SignalGen</w:t>
            </w:r>
          </w:p>
        </w:tc>
        <w:tc>
          <w:tcPr>
            <w:tcW w:w="5904" w:type="dxa"/>
          </w:tcPr>
          <w:p w:rsidR="006A1646" w:rsidRPr="00497850" w:rsidRDefault="00497850" w:rsidP="00E64096">
            <w:r>
              <w:t xml:space="preserve">Generate entry and exit signals based on </w:t>
            </w:r>
            <w:r w:rsidRPr="00DE69F0">
              <w:rPr>
                <w:i/>
              </w:rPr>
              <w:t>sigmaEntry</w:t>
            </w:r>
            <w:r>
              <w:t xml:space="preserve"> </w:t>
            </w:r>
            <w:r w:rsidRPr="00DE69F0">
              <w:rPr>
                <w:i/>
              </w:rPr>
              <w:t>sigmaExit</w:t>
            </w:r>
            <w:r>
              <w:t xml:space="preserve"> and </w:t>
            </w:r>
            <w:r w:rsidRPr="00DE69F0">
              <w:rPr>
                <w:i/>
              </w:rPr>
              <w:t>MA</w:t>
            </w:r>
            <w:r w:rsidRPr="00DE69F0">
              <w:rPr>
                <w:i/>
                <w:vertAlign w:val="subscript"/>
              </w:rPr>
              <w:t>t</w:t>
            </w:r>
          </w:p>
        </w:tc>
      </w:tr>
      <w:tr w:rsidR="006A1646" w:rsidTr="00A318C0">
        <w:tc>
          <w:tcPr>
            <w:tcW w:w="2952" w:type="dxa"/>
          </w:tcPr>
          <w:p w:rsidR="006A1646" w:rsidRDefault="00AE6518" w:rsidP="00A318C0">
            <w:pPr>
              <w:jc w:val="center"/>
            </w:pPr>
            <w:r>
              <w:t>GammaScalping</w:t>
            </w:r>
          </w:p>
        </w:tc>
        <w:tc>
          <w:tcPr>
            <w:tcW w:w="5904" w:type="dxa"/>
          </w:tcPr>
          <w:p w:rsidR="006A1646" w:rsidRDefault="00002C9B" w:rsidP="00E64096">
            <w:r>
              <w:t xml:space="preserve">Generate trading instructions. </w:t>
            </w:r>
            <w:r w:rsidR="008D0737">
              <w:t xml:space="preserve">When open a position, buy K shares of call option and K shares of put option. Check position delta every day during the trading period and trade on stocks to make delta neutral if position delta exceeds a threshold. </w:t>
            </w:r>
          </w:p>
        </w:tc>
      </w:tr>
      <w:tr w:rsidR="006A1646" w:rsidTr="00A318C0">
        <w:tc>
          <w:tcPr>
            <w:tcW w:w="2952" w:type="dxa"/>
          </w:tcPr>
          <w:p w:rsidR="006A1646" w:rsidRDefault="00D61166" w:rsidP="00776CB8">
            <w:pPr>
              <w:jc w:val="center"/>
            </w:pPr>
            <w:r>
              <w:t>Portfolio</w:t>
            </w:r>
          </w:p>
        </w:tc>
        <w:tc>
          <w:tcPr>
            <w:tcW w:w="5904" w:type="dxa"/>
          </w:tcPr>
          <w:p w:rsidR="006A1646" w:rsidRDefault="00D61166" w:rsidP="00AD3547">
            <w:r>
              <w:t xml:space="preserve">Record position information. </w:t>
            </w:r>
            <w:r w:rsidR="00AD3547">
              <w:t>Number of shares, total position value and total wealth.</w:t>
            </w:r>
          </w:p>
        </w:tc>
      </w:tr>
      <w:tr w:rsidR="006A1646" w:rsidTr="00A318C0">
        <w:tc>
          <w:tcPr>
            <w:tcW w:w="2952" w:type="dxa"/>
          </w:tcPr>
          <w:p w:rsidR="006A1646" w:rsidRDefault="00776CB8" w:rsidP="00776CB8">
            <w:pPr>
              <w:jc w:val="center"/>
            </w:pPr>
            <w:r>
              <w:t>Evaluation</w:t>
            </w:r>
          </w:p>
        </w:tc>
        <w:tc>
          <w:tcPr>
            <w:tcW w:w="5904" w:type="dxa"/>
          </w:tcPr>
          <w:p w:rsidR="006A1646" w:rsidRDefault="00776CB8" w:rsidP="00E64096">
            <w:r>
              <w:t xml:space="preserve">Evaluate a given sequence of portfolio value. Analyze it’s average return, Sharpe Ratio and maximum drawdown. </w:t>
            </w:r>
          </w:p>
        </w:tc>
      </w:tr>
      <w:tr w:rsidR="006A1646" w:rsidTr="00A318C0">
        <w:tc>
          <w:tcPr>
            <w:tcW w:w="2952" w:type="dxa"/>
          </w:tcPr>
          <w:p w:rsidR="006A1646" w:rsidRDefault="007C05B9" w:rsidP="00776CB8">
            <w:pPr>
              <w:jc w:val="center"/>
            </w:pPr>
            <w:r>
              <w:t>OptionData</w:t>
            </w:r>
          </w:p>
        </w:tc>
        <w:tc>
          <w:tcPr>
            <w:tcW w:w="5904" w:type="dxa"/>
          </w:tcPr>
          <w:p w:rsidR="006A1646" w:rsidRDefault="007C05B9" w:rsidP="00E64096">
            <w:r>
              <w:t>Data s</w:t>
            </w:r>
            <w:r w:rsidR="00920CF8">
              <w:t>tructure. Manipulating option data.</w:t>
            </w:r>
            <w:r w:rsidR="004B0E3C">
              <w:t xml:space="preserve"> </w:t>
            </w:r>
          </w:p>
        </w:tc>
      </w:tr>
    </w:tbl>
    <w:p w:rsidR="00E57AC3" w:rsidRDefault="00E57AC3" w:rsidP="009433E4">
      <w:pPr>
        <w:ind w:firstLine="720"/>
      </w:pPr>
    </w:p>
    <w:p w:rsidR="00453600" w:rsidRDefault="00453600" w:rsidP="00453600">
      <w:pPr>
        <w:pStyle w:val="1"/>
        <w:numPr>
          <w:ilvl w:val="0"/>
          <w:numId w:val="1"/>
        </w:numPr>
      </w:pPr>
      <w:r>
        <w:t>In-sample backtest</w:t>
      </w:r>
    </w:p>
    <w:p w:rsidR="00BD5A58" w:rsidRDefault="00962437" w:rsidP="00151BCD">
      <w:pPr>
        <w:ind w:firstLine="360"/>
      </w:pPr>
      <w:r>
        <w:t>The following</w:t>
      </w:r>
      <w:r w:rsidR="00524FB3">
        <w:t xml:space="preserve"> 9 parameters were tested during in sample backtest. </w:t>
      </w:r>
      <w:r w:rsidR="00151BCD">
        <w:t>The runtime of each set of parameter is approximately 6-7 seconds. Considering the total runtime must be less than 1 hour. Each parameter is only tested with two valu</w:t>
      </w:r>
      <w:r w:rsidR="00026859">
        <w:t>es. So the estimated runtime is</w:t>
      </w:r>
      <w:r w:rsidR="00151BCD">
        <w:t xml:space="preserve"> </w:t>
      </w:r>
      <w:r w:rsidR="00026859">
        <w:t>“</w:t>
      </w:r>
      <w:r w:rsidR="00151BCD">
        <w:t>2</w:t>
      </w:r>
      <w:r w:rsidR="00151BCD">
        <w:rPr>
          <w:vertAlign w:val="superscript"/>
        </w:rPr>
        <w:t>9</w:t>
      </w:r>
      <w:r w:rsidR="00151BCD">
        <w:t xml:space="preserve"> * </w:t>
      </w:r>
      <w:r w:rsidR="00026859">
        <w:t>7s = 3584s”, which is almost one hour.</w:t>
      </w:r>
      <w:r w:rsidR="00B87E29">
        <w:t xml:space="preserve"> </w:t>
      </w:r>
    </w:p>
    <w:tbl>
      <w:tblPr>
        <w:tblStyle w:val="a6"/>
        <w:tblW w:w="0" w:type="auto"/>
        <w:jc w:val="center"/>
        <w:tblLook w:val="04A0" w:firstRow="1" w:lastRow="0" w:firstColumn="1" w:lastColumn="0" w:noHBand="0" w:noVBand="1"/>
      </w:tblPr>
      <w:tblGrid>
        <w:gridCol w:w="2952"/>
        <w:gridCol w:w="2106"/>
        <w:gridCol w:w="3798"/>
      </w:tblGrid>
      <w:tr w:rsidR="00A57B34" w:rsidTr="003E43C4">
        <w:trPr>
          <w:jc w:val="center"/>
        </w:trPr>
        <w:tc>
          <w:tcPr>
            <w:tcW w:w="2952" w:type="dxa"/>
          </w:tcPr>
          <w:p w:rsidR="00A57B34" w:rsidRDefault="00A57B34" w:rsidP="00080A0C">
            <w:pPr>
              <w:jc w:val="center"/>
            </w:pPr>
            <w:r>
              <w:t>Parameter</w:t>
            </w:r>
          </w:p>
        </w:tc>
        <w:tc>
          <w:tcPr>
            <w:tcW w:w="2106" w:type="dxa"/>
          </w:tcPr>
          <w:p w:rsidR="00A57B34" w:rsidRDefault="00A57B34" w:rsidP="00080A0C">
            <w:pPr>
              <w:jc w:val="center"/>
            </w:pPr>
            <w:r>
              <w:t>Values</w:t>
            </w:r>
          </w:p>
        </w:tc>
        <w:tc>
          <w:tcPr>
            <w:tcW w:w="3798" w:type="dxa"/>
          </w:tcPr>
          <w:p w:rsidR="00A57B34" w:rsidRDefault="001451F7" w:rsidP="00080A0C">
            <w:pPr>
              <w:jc w:val="center"/>
            </w:pPr>
            <w:r>
              <w:t>Description</w:t>
            </w:r>
          </w:p>
        </w:tc>
      </w:tr>
      <w:tr w:rsidR="00A57B34" w:rsidTr="003E43C4">
        <w:trPr>
          <w:jc w:val="center"/>
        </w:trPr>
        <w:tc>
          <w:tcPr>
            <w:tcW w:w="2952" w:type="dxa"/>
          </w:tcPr>
          <w:p w:rsidR="00A57B34" w:rsidRDefault="00C314FF" w:rsidP="00080A0C">
            <w:pPr>
              <w:jc w:val="center"/>
            </w:pPr>
            <w:r>
              <w:t>SigmaEntry</w:t>
            </w:r>
          </w:p>
        </w:tc>
        <w:tc>
          <w:tcPr>
            <w:tcW w:w="2106" w:type="dxa"/>
          </w:tcPr>
          <w:p w:rsidR="00A57B34" w:rsidRDefault="00C314FF" w:rsidP="00080A0C">
            <w:pPr>
              <w:jc w:val="center"/>
            </w:pPr>
            <w:r>
              <w:t>[</w:t>
            </w:r>
            <w:r w:rsidRPr="00787918">
              <w:rPr>
                <w:color w:val="FF0000"/>
              </w:rPr>
              <w:t>0.24</w:t>
            </w:r>
            <w:r>
              <w:t>, 0.28]</w:t>
            </w:r>
            <w:r w:rsidR="00A37A44">
              <w:t xml:space="preserve"> if using implied vol,</w:t>
            </w:r>
          </w:p>
          <w:p w:rsidR="00A37A44" w:rsidRDefault="00A37A44" w:rsidP="00DD2E02">
            <w:pPr>
              <w:jc w:val="center"/>
            </w:pPr>
            <w:r>
              <w:t xml:space="preserve">[0.3, 0.4] if using </w:t>
            </w:r>
            <w:r w:rsidR="00DD2E02">
              <w:t>h</w:t>
            </w:r>
            <w:r w:rsidR="008112D4">
              <w:t>istorical</w:t>
            </w:r>
            <w:r>
              <w:t xml:space="preserve"> vol</w:t>
            </w:r>
          </w:p>
        </w:tc>
        <w:tc>
          <w:tcPr>
            <w:tcW w:w="3798" w:type="dxa"/>
          </w:tcPr>
          <w:p w:rsidR="00A57B34" w:rsidRPr="00C314FF" w:rsidRDefault="00C314FF" w:rsidP="008F2F2A">
            <w:pPr>
              <w:jc w:val="center"/>
            </w:pPr>
            <w:r>
              <w:t>MA</w:t>
            </w:r>
            <w:r>
              <w:rPr>
                <w:vertAlign w:val="subscript"/>
              </w:rPr>
              <w:t>t</w:t>
            </w:r>
            <w:r>
              <w:t xml:space="preserve"> </w:t>
            </w:r>
            <w:r w:rsidR="00366325">
              <w:t>lower than S</w:t>
            </w:r>
            <w:r w:rsidR="008F2F2A">
              <w:t>igmaEntry indicates starting a trading period.</w:t>
            </w:r>
          </w:p>
        </w:tc>
      </w:tr>
      <w:tr w:rsidR="00A57B34" w:rsidTr="003E43C4">
        <w:trPr>
          <w:jc w:val="center"/>
        </w:trPr>
        <w:tc>
          <w:tcPr>
            <w:tcW w:w="2952" w:type="dxa"/>
          </w:tcPr>
          <w:p w:rsidR="00A57B34" w:rsidRDefault="00121455" w:rsidP="00080A0C">
            <w:pPr>
              <w:jc w:val="center"/>
            </w:pPr>
            <w:r>
              <w:t>SigmaExit</w:t>
            </w:r>
          </w:p>
        </w:tc>
        <w:tc>
          <w:tcPr>
            <w:tcW w:w="2106" w:type="dxa"/>
          </w:tcPr>
          <w:p w:rsidR="00A57B34" w:rsidRDefault="00121455" w:rsidP="00080A0C">
            <w:pPr>
              <w:jc w:val="center"/>
            </w:pPr>
            <w:r>
              <w:t xml:space="preserve">[0.32, </w:t>
            </w:r>
            <w:r w:rsidRPr="00787918">
              <w:rPr>
                <w:color w:val="FF0000"/>
              </w:rPr>
              <w:t>0.36</w:t>
            </w:r>
            <w:r>
              <w:t>]</w:t>
            </w:r>
            <w:r w:rsidR="00A37A44">
              <w:t xml:space="preserve"> if using </w:t>
            </w:r>
            <w:r w:rsidR="00A13CD8">
              <w:lastRenderedPageBreak/>
              <w:t>implied</w:t>
            </w:r>
            <w:r w:rsidR="00A37A44">
              <w:t xml:space="preserve"> vol,</w:t>
            </w:r>
          </w:p>
          <w:p w:rsidR="00A37A44" w:rsidRDefault="00A37A44" w:rsidP="00080A0C">
            <w:pPr>
              <w:jc w:val="center"/>
            </w:pPr>
            <w:r>
              <w:t>[0.5, 0.6] if using historical vol</w:t>
            </w:r>
          </w:p>
        </w:tc>
        <w:tc>
          <w:tcPr>
            <w:tcW w:w="3798" w:type="dxa"/>
          </w:tcPr>
          <w:p w:rsidR="00A57B34" w:rsidRPr="002942A4" w:rsidRDefault="002942A4" w:rsidP="00080A0C">
            <w:pPr>
              <w:jc w:val="center"/>
            </w:pPr>
            <w:r>
              <w:lastRenderedPageBreak/>
              <w:t>MA</w:t>
            </w:r>
            <w:r>
              <w:rPr>
                <w:vertAlign w:val="subscript"/>
              </w:rPr>
              <w:t>t</w:t>
            </w:r>
            <w:r>
              <w:t xml:space="preserve"> higher than SigmaExit indicates </w:t>
            </w:r>
            <w:r>
              <w:lastRenderedPageBreak/>
              <w:t>ending a trading period.</w:t>
            </w:r>
          </w:p>
        </w:tc>
      </w:tr>
      <w:tr w:rsidR="00A57B34" w:rsidTr="00A82913">
        <w:trPr>
          <w:trHeight w:val="350"/>
          <w:jc w:val="center"/>
        </w:trPr>
        <w:tc>
          <w:tcPr>
            <w:tcW w:w="2952" w:type="dxa"/>
          </w:tcPr>
          <w:p w:rsidR="00A57B34" w:rsidRDefault="003E43C4" w:rsidP="00080A0C">
            <w:pPr>
              <w:jc w:val="center"/>
            </w:pPr>
            <w:r>
              <w:lastRenderedPageBreak/>
              <w:t>w</w:t>
            </w:r>
          </w:p>
        </w:tc>
        <w:tc>
          <w:tcPr>
            <w:tcW w:w="2106" w:type="dxa"/>
          </w:tcPr>
          <w:p w:rsidR="00A57B34" w:rsidRDefault="00DC0625" w:rsidP="00080A0C">
            <w:pPr>
              <w:jc w:val="center"/>
            </w:pPr>
            <w:r>
              <w:t>[</w:t>
            </w:r>
            <w:r w:rsidRPr="00A82913">
              <w:rPr>
                <w:color w:val="FF0000"/>
              </w:rPr>
              <w:t>5</w:t>
            </w:r>
            <w:r>
              <w:t>, 10]</w:t>
            </w:r>
          </w:p>
        </w:tc>
        <w:tc>
          <w:tcPr>
            <w:tcW w:w="3798" w:type="dxa"/>
          </w:tcPr>
          <w:p w:rsidR="00A57B34" w:rsidRDefault="002F7ED1" w:rsidP="00080A0C">
            <w:pPr>
              <w:jc w:val="center"/>
            </w:pPr>
            <w:r>
              <w:t xml:space="preserve">Days of </w:t>
            </w:r>
            <w:r w:rsidR="00AF2CD3">
              <w:t xml:space="preserve">calculating </w:t>
            </w:r>
            <w:r>
              <w:t>moving average</w:t>
            </w:r>
          </w:p>
        </w:tc>
      </w:tr>
      <w:tr w:rsidR="00A57B34" w:rsidTr="003E43C4">
        <w:trPr>
          <w:jc w:val="center"/>
        </w:trPr>
        <w:tc>
          <w:tcPr>
            <w:tcW w:w="2952" w:type="dxa"/>
          </w:tcPr>
          <w:p w:rsidR="00A57B34" w:rsidRDefault="003E43C4" w:rsidP="00080A0C">
            <w:pPr>
              <w:jc w:val="center"/>
            </w:pPr>
            <w:r>
              <w:t>m</w:t>
            </w:r>
          </w:p>
        </w:tc>
        <w:tc>
          <w:tcPr>
            <w:tcW w:w="2106" w:type="dxa"/>
          </w:tcPr>
          <w:p w:rsidR="00A57B34" w:rsidRDefault="00DC0625" w:rsidP="00080A0C">
            <w:pPr>
              <w:jc w:val="center"/>
            </w:pPr>
            <w:r>
              <w:t>[</w:t>
            </w:r>
            <w:r w:rsidRPr="00A82913">
              <w:rPr>
                <w:color w:val="FF0000"/>
              </w:rPr>
              <w:t>5</w:t>
            </w:r>
            <w:r>
              <w:t xml:space="preserve">, </w:t>
            </w:r>
            <w:r w:rsidRPr="00A82913">
              <w:rPr>
                <w:color w:val="000000" w:themeColor="text1"/>
              </w:rPr>
              <w:t>10</w:t>
            </w:r>
            <w:r>
              <w:t>]</w:t>
            </w:r>
          </w:p>
        </w:tc>
        <w:tc>
          <w:tcPr>
            <w:tcW w:w="3798" w:type="dxa"/>
          </w:tcPr>
          <w:p w:rsidR="00A57B34" w:rsidRDefault="00611DDD" w:rsidP="00080A0C">
            <w:pPr>
              <w:jc w:val="center"/>
            </w:pPr>
            <w:r>
              <w:t xml:space="preserve">Days of </w:t>
            </w:r>
            <w:r w:rsidR="00236F1C">
              <w:t xml:space="preserve">price used to calculate </w:t>
            </w:r>
            <w:r>
              <w:t>historical standard deviation</w:t>
            </w:r>
            <w:r w:rsidR="00E41EA1">
              <w:t>.</w:t>
            </w:r>
          </w:p>
        </w:tc>
      </w:tr>
      <w:tr w:rsidR="00A57B34" w:rsidTr="003E43C4">
        <w:trPr>
          <w:jc w:val="center"/>
        </w:trPr>
        <w:tc>
          <w:tcPr>
            <w:tcW w:w="2952" w:type="dxa"/>
          </w:tcPr>
          <w:p w:rsidR="00A57B34" w:rsidRDefault="003E43C4" w:rsidP="00080A0C">
            <w:pPr>
              <w:jc w:val="center"/>
            </w:pPr>
            <w:r>
              <w:t>e</w:t>
            </w:r>
          </w:p>
        </w:tc>
        <w:tc>
          <w:tcPr>
            <w:tcW w:w="2106" w:type="dxa"/>
          </w:tcPr>
          <w:p w:rsidR="00A57B34" w:rsidRDefault="00DC0625" w:rsidP="00080A0C">
            <w:pPr>
              <w:jc w:val="center"/>
            </w:pPr>
            <w:r>
              <w:t xml:space="preserve">[2, </w:t>
            </w:r>
            <w:r w:rsidRPr="00A82913">
              <w:rPr>
                <w:color w:val="FF0000"/>
              </w:rPr>
              <w:t>20</w:t>
            </w:r>
            <w:r>
              <w:t>]</w:t>
            </w:r>
          </w:p>
        </w:tc>
        <w:tc>
          <w:tcPr>
            <w:tcW w:w="3798" w:type="dxa"/>
          </w:tcPr>
          <w:p w:rsidR="00A57B34" w:rsidRDefault="004969CC" w:rsidP="00080A0C">
            <w:pPr>
              <w:jc w:val="center"/>
            </w:pPr>
            <w:r>
              <w:t>The days to expiration of the holding option less than e is an exit signal.</w:t>
            </w:r>
          </w:p>
        </w:tc>
      </w:tr>
      <w:tr w:rsidR="00A57B34" w:rsidTr="003E43C4">
        <w:trPr>
          <w:jc w:val="center"/>
        </w:trPr>
        <w:tc>
          <w:tcPr>
            <w:tcW w:w="2952" w:type="dxa"/>
          </w:tcPr>
          <w:p w:rsidR="00A57B34" w:rsidRDefault="003E43C4" w:rsidP="00080A0C">
            <w:pPr>
              <w:jc w:val="center"/>
            </w:pPr>
            <w:r>
              <w:t>Volatility Measure</w:t>
            </w:r>
          </w:p>
        </w:tc>
        <w:tc>
          <w:tcPr>
            <w:tcW w:w="2106" w:type="dxa"/>
          </w:tcPr>
          <w:p w:rsidR="00A57B34" w:rsidRDefault="00E96C51" w:rsidP="00080A0C">
            <w:pPr>
              <w:jc w:val="center"/>
            </w:pPr>
            <w:r>
              <w:t>[</w:t>
            </w:r>
            <w:r w:rsidRPr="00A82913">
              <w:rPr>
                <w:color w:val="FF0000"/>
              </w:rPr>
              <w:t>Historical</w:t>
            </w:r>
            <w:r>
              <w:t>, Implied]</w:t>
            </w:r>
          </w:p>
        </w:tc>
        <w:tc>
          <w:tcPr>
            <w:tcW w:w="3798" w:type="dxa"/>
          </w:tcPr>
          <w:p w:rsidR="00A57B34" w:rsidRDefault="008352E6" w:rsidP="00080A0C">
            <w:pPr>
              <w:jc w:val="center"/>
            </w:pPr>
            <w:r>
              <w:t>Use either historical volatility or implied volatility given by Black-Scholes Model</w:t>
            </w:r>
          </w:p>
        </w:tc>
      </w:tr>
      <w:tr w:rsidR="00A57B34" w:rsidTr="003E43C4">
        <w:trPr>
          <w:jc w:val="center"/>
        </w:trPr>
        <w:tc>
          <w:tcPr>
            <w:tcW w:w="2952" w:type="dxa"/>
          </w:tcPr>
          <w:p w:rsidR="00A57B34" w:rsidRDefault="005524B3" w:rsidP="005524B3">
            <w:pPr>
              <w:jc w:val="center"/>
            </w:pPr>
            <w:r>
              <w:t>De</w:t>
            </w:r>
            <w:r w:rsidR="003E43C4">
              <w:t>ltaT</w:t>
            </w:r>
          </w:p>
        </w:tc>
        <w:tc>
          <w:tcPr>
            <w:tcW w:w="2106" w:type="dxa"/>
          </w:tcPr>
          <w:p w:rsidR="00A57B34" w:rsidRDefault="005524B3" w:rsidP="00080A0C">
            <w:pPr>
              <w:jc w:val="center"/>
            </w:pPr>
            <w:r>
              <w:t>[</w:t>
            </w:r>
            <w:r w:rsidRPr="00A82913">
              <w:rPr>
                <w:color w:val="FF0000"/>
              </w:rPr>
              <w:t>0.1</w:t>
            </w:r>
            <w:r>
              <w:t>, 0.2]</w:t>
            </w:r>
          </w:p>
        </w:tc>
        <w:tc>
          <w:tcPr>
            <w:tcW w:w="3798" w:type="dxa"/>
          </w:tcPr>
          <w:p w:rsidR="00A57B34" w:rsidRDefault="00A42F29" w:rsidP="00080A0C">
            <w:pPr>
              <w:jc w:val="center"/>
            </w:pPr>
            <w:r>
              <w:t xml:space="preserve">Tolerance of position delta. If position delta exceeds deltaT, trade some shares of stocks to keep delta-neutral. </w:t>
            </w:r>
          </w:p>
        </w:tc>
      </w:tr>
      <w:tr w:rsidR="00A57B34" w:rsidTr="003E43C4">
        <w:trPr>
          <w:jc w:val="center"/>
        </w:trPr>
        <w:tc>
          <w:tcPr>
            <w:tcW w:w="2952" w:type="dxa"/>
          </w:tcPr>
          <w:p w:rsidR="00A57B34" w:rsidRDefault="003E43C4" w:rsidP="00080A0C">
            <w:pPr>
              <w:jc w:val="center"/>
            </w:pPr>
            <w:r>
              <w:t>Tmin</w:t>
            </w:r>
          </w:p>
        </w:tc>
        <w:tc>
          <w:tcPr>
            <w:tcW w:w="2106" w:type="dxa"/>
          </w:tcPr>
          <w:p w:rsidR="00A57B34" w:rsidRDefault="00465AFA" w:rsidP="00080A0C">
            <w:pPr>
              <w:jc w:val="center"/>
            </w:pPr>
            <w:r>
              <w:t xml:space="preserve">[40, </w:t>
            </w:r>
            <w:r w:rsidRPr="00A82913">
              <w:rPr>
                <w:color w:val="FF0000"/>
              </w:rPr>
              <w:t>80</w:t>
            </w:r>
            <w:r>
              <w:t>]</w:t>
            </w:r>
          </w:p>
        </w:tc>
        <w:tc>
          <w:tcPr>
            <w:tcW w:w="3798" w:type="dxa"/>
          </w:tcPr>
          <w:p w:rsidR="00A57B34" w:rsidRDefault="00DA58DE" w:rsidP="00080A0C">
            <w:pPr>
              <w:jc w:val="center"/>
            </w:pPr>
            <w:r>
              <w:t xml:space="preserve">Minimum days to expiration when choosing which option to hold. </w:t>
            </w:r>
          </w:p>
        </w:tc>
      </w:tr>
      <w:tr w:rsidR="00A57B34" w:rsidTr="003E43C4">
        <w:trPr>
          <w:jc w:val="center"/>
        </w:trPr>
        <w:tc>
          <w:tcPr>
            <w:tcW w:w="2952" w:type="dxa"/>
          </w:tcPr>
          <w:p w:rsidR="00A57B34" w:rsidRDefault="003E43C4" w:rsidP="00080A0C">
            <w:pPr>
              <w:jc w:val="center"/>
            </w:pPr>
            <w:r>
              <w:t>Tmax</w:t>
            </w:r>
          </w:p>
        </w:tc>
        <w:tc>
          <w:tcPr>
            <w:tcW w:w="2106" w:type="dxa"/>
          </w:tcPr>
          <w:p w:rsidR="00A57B34" w:rsidRDefault="00465AFA" w:rsidP="00080A0C">
            <w:pPr>
              <w:jc w:val="center"/>
            </w:pPr>
            <w:r>
              <w:t>[</w:t>
            </w:r>
            <w:r w:rsidRPr="00A82913">
              <w:rPr>
                <w:color w:val="FF0000"/>
              </w:rPr>
              <w:t>100</w:t>
            </w:r>
            <w:r>
              <w:t>, 140]</w:t>
            </w:r>
          </w:p>
        </w:tc>
        <w:tc>
          <w:tcPr>
            <w:tcW w:w="3798" w:type="dxa"/>
          </w:tcPr>
          <w:p w:rsidR="00A57B34" w:rsidRDefault="005524E9" w:rsidP="00080A0C">
            <w:pPr>
              <w:jc w:val="center"/>
            </w:pPr>
            <w:r>
              <w:t>Maximum days to expiration when choosing which option to hold.</w:t>
            </w:r>
          </w:p>
        </w:tc>
      </w:tr>
    </w:tbl>
    <w:p w:rsidR="004B48A5" w:rsidRDefault="004B48A5" w:rsidP="00BF2746">
      <w:pPr>
        <w:ind w:firstLine="720"/>
      </w:pPr>
      <w:r>
        <w:t>During the back test</w:t>
      </w:r>
      <w:r w:rsidR="00EB676E">
        <w:t xml:space="preserve">, </w:t>
      </w:r>
      <w:r w:rsidR="0068072E">
        <w:t>security was set to GOOG,</w:t>
      </w:r>
      <w:r w:rsidR="00EB676E">
        <w:t xml:space="preserve"> </w:t>
      </w:r>
      <w:r>
        <w:t xml:space="preserve">initial </w:t>
      </w:r>
      <w:r w:rsidR="002334D2">
        <w:t xml:space="preserve">cash </w:t>
      </w:r>
      <w:r>
        <w:t xml:space="preserve">was set to 1 million, transaction cost was set to 0.001 and </w:t>
      </w:r>
      <w:r w:rsidR="00115F02">
        <w:t xml:space="preserve">K was set to 1, meaning </w:t>
      </w:r>
      <w:r w:rsidR="00F03411">
        <w:t xml:space="preserve">hold 1 share of call option and 1 share of put option during one trading period. </w:t>
      </w:r>
    </w:p>
    <w:p w:rsidR="00583DC1" w:rsidRPr="00BF26AA" w:rsidRDefault="00583DC1" w:rsidP="00BF26AA">
      <w:pPr>
        <w:ind w:firstLine="720"/>
        <w:rPr>
          <w:rFonts w:ascii="Calibri" w:eastAsia="Times New Roman" w:hAnsi="Calibri" w:cs="Times New Roman"/>
          <w:color w:val="000000"/>
        </w:rPr>
      </w:pPr>
      <w:r>
        <w:t xml:space="preserve">The set of parameters that gave the best Sharpe ratio is marked as red in the above table. The maximum Sharpe Ratio was 1.88 with annualized average daily return of 1.7% and standard deviation of </w:t>
      </w:r>
      <w:r>
        <w:rPr>
          <w:rFonts w:ascii="Calibri" w:eastAsia="Times New Roman" w:hAnsi="Calibri" w:cs="Times New Roman"/>
          <w:color w:val="000000"/>
        </w:rPr>
        <w:t>0.93%.</w:t>
      </w:r>
    </w:p>
    <w:p w:rsidR="002A6DDB" w:rsidRDefault="002A6DDB" w:rsidP="00BF2746">
      <w:pPr>
        <w:ind w:firstLine="720"/>
      </w:pPr>
      <w:r>
        <w:t xml:space="preserve">However, using the parameters </w:t>
      </w:r>
      <w:r w:rsidR="00A82913">
        <w:t xml:space="preserve">given by in sample backtest, during out-of-sample period, no trade was done because the </w:t>
      </w:r>
      <w:r w:rsidR="00E43FFA">
        <w:t xml:space="preserve">overall implied volatility during out-of-sample period is much higher than in the in-sample period. </w:t>
      </w:r>
      <w:r w:rsidR="00F97FCD">
        <w:t xml:space="preserve">This </w:t>
      </w:r>
      <w:r w:rsidR="00DC3716">
        <w:t xml:space="preserve">is exactly one potential problem of technical strategy which is </w:t>
      </w:r>
      <w:r w:rsidR="00857C08">
        <w:t xml:space="preserve">the results mainly depends on </w:t>
      </w:r>
      <w:r w:rsidR="004A1666">
        <w:t>what time period we are using if the sample size is not large enough.</w:t>
      </w:r>
      <w:r w:rsidR="00B61D72">
        <w:t xml:space="preserve"> </w:t>
      </w:r>
    </w:p>
    <w:p w:rsidR="000571BC" w:rsidRDefault="00A76A76" w:rsidP="00147EC1">
      <w:pPr>
        <w:pStyle w:val="1"/>
        <w:numPr>
          <w:ilvl w:val="0"/>
          <w:numId w:val="1"/>
        </w:numPr>
      </w:pPr>
      <w:r>
        <w:t>Performance</w:t>
      </w:r>
    </w:p>
    <w:p w:rsidR="006B08A1" w:rsidRDefault="00394408" w:rsidP="006B08A1">
      <w:pPr>
        <w:ind w:left="720"/>
      </w:pPr>
      <w:r>
        <w:t xml:space="preserve">Using another set of parameters, the following results were generated. </w:t>
      </w:r>
    </w:p>
    <w:p w:rsidR="006B08A1" w:rsidRDefault="006B08A1" w:rsidP="006B08A1">
      <w:pPr>
        <w:ind w:left="720"/>
      </w:pPr>
      <w:r>
        <w:t xml:space="preserve">Security=GOOG, </w:t>
      </w:r>
      <w:r w:rsidR="00082AE8">
        <w:t>Use i</w:t>
      </w:r>
      <w:r>
        <w:t>mplied Vol, SigmaEntry=0.3, SigmaExit=0.5, w=5, m=5, e=2, deltaT=0.15, tmin=60, tmax=120.</w:t>
      </w:r>
    </w:p>
    <w:p w:rsidR="00BE56EA" w:rsidRDefault="00F70894" w:rsidP="009E7EC0">
      <w:pPr>
        <w:jc w:val="center"/>
      </w:pPr>
      <w:r>
        <w:rPr>
          <w:noProof/>
        </w:rPr>
        <w:lastRenderedPageBreak/>
        <w:drawing>
          <wp:inline distT="0" distB="0" distL="0" distR="0" wp14:anchorId="0E05449E" wp14:editId="7B260C7B">
            <wp:extent cx="3657600" cy="2194560"/>
            <wp:effectExtent l="0" t="0" r="19050" b="1524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B19CF" w:rsidRDefault="00F70894" w:rsidP="002D4ECD">
      <w:pPr>
        <w:ind w:left="720" w:firstLine="720"/>
      </w:pPr>
      <w:r>
        <w:t xml:space="preserve">Totally 13 trades were made and only 31% of them </w:t>
      </w:r>
      <w:r w:rsidR="00321D40">
        <w:t>had</w:t>
      </w:r>
      <w:r>
        <w:t xml:space="preserve"> a positive return.</w:t>
      </w:r>
      <w:r w:rsidR="000453FC">
        <w:t xml:space="preserve"> However, the average return per trade was 11.2%. This suggests that the losing trades didn’t lose as much as the winning trades gained. </w:t>
      </w:r>
    </w:p>
    <w:p w:rsidR="009E7EC0" w:rsidRDefault="009E7EC0" w:rsidP="002D4ECD">
      <w:pPr>
        <w:ind w:left="720" w:firstLine="720"/>
      </w:pPr>
      <w:r>
        <w:t xml:space="preserve">The total portfolio value over the trading period is shown as below. </w:t>
      </w:r>
      <w:r w:rsidR="00116605">
        <w:t xml:space="preserve">The cumulative growth rate was approximately 1.2%. </w:t>
      </w:r>
      <w:bookmarkStart w:id="0" w:name="_GoBack"/>
      <w:bookmarkEnd w:id="0"/>
    </w:p>
    <w:p w:rsidR="009E7EC0" w:rsidRDefault="009E7EC0" w:rsidP="009E7EC0">
      <w:pPr>
        <w:jc w:val="center"/>
      </w:pPr>
      <w:r>
        <w:rPr>
          <w:noProof/>
        </w:rPr>
        <w:drawing>
          <wp:inline distT="0" distB="0" distL="0" distR="0" wp14:anchorId="3873D38F" wp14:editId="4E87D8AF">
            <wp:extent cx="4572000" cy="2743200"/>
            <wp:effectExtent l="0" t="0" r="19050" b="1905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453FC" w:rsidRPr="00806CCA" w:rsidRDefault="000453FC" w:rsidP="006B08A1">
      <w:pPr>
        <w:ind w:left="720"/>
      </w:pPr>
    </w:p>
    <w:sectPr w:rsidR="000453FC" w:rsidRPr="00806CCA">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737" w:rsidRDefault="00856737" w:rsidP="00D06884">
      <w:pPr>
        <w:spacing w:after="0" w:line="240" w:lineRule="auto"/>
      </w:pPr>
      <w:r>
        <w:separator/>
      </w:r>
    </w:p>
  </w:endnote>
  <w:endnote w:type="continuationSeparator" w:id="0">
    <w:p w:rsidR="00856737" w:rsidRDefault="00856737" w:rsidP="00D06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4584387"/>
      <w:docPartObj>
        <w:docPartGallery w:val="Page Numbers (Bottom of Page)"/>
        <w:docPartUnique/>
      </w:docPartObj>
    </w:sdtPr>
    <w:sdtContent>
      <w:p w:rsidR="00D06884" w:rsidRDefault="00D06884">
        <w:pPr>
          <w:pStyle w:val="a8"/>
          <w:jc w:val="center"/>
        </w:pPr>
        <w:r>
          <w:fldChar w:fldCharType="begin"/>
        </w:r>
        <w:r>
          <w:instrText>PAGE   \* MERGEFORMAT</w:instrText>
        </w:r>
        <w:r>
          <w:fldChar w:fldCharType="separate"/>
        </w:r>
        <w:r w:rsidR="00116605" w:rsidRPr="00116605">
          <w:rPr>
            <w:noProof/>
            <w:lang w:val="zh-CN"/>
          </w:rPr>
          <w:t>3</w:t>
        </w:r>
        <w:r>
          <w:fldChar w:fldCharType="end"/>
        </w:r>
      </w:p>
    </w:sdtContent>
  </w:sdt>
  <w:p w:rsidR="00D06884" w:rsidRDefault="00D0688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737" w:rsidRDefault="00856737" w:rsidP="00D06884">
      <w:pPr>
        <w:spacing w:after="0" w:line="240" w:lineRule="auto"/>
      </w:pPr>
      <w:r>
        <w:separator/>
      </w:r>
    </w:p>
  </w:footnote>
  <w:footnote w:type="continuationSeparator" w:id="0">
    <w:p w:rsidR="00856737" w:rsidRDefault="00856737" w:rsidP="00D068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6111D"/>
    <w:multiLevelType w:val="hybridMultilevel"/>
    <w:tmpl w:val="ACC6C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8C5F0A"/>
    <w:multiLevelType w:val="hybridMultilevel"/>
    <w:tmpl w:val="65D04982"/>
    <w:lvl w:ilvl="0" w:tplc="867CB1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B7D"/>
    <w:rsid w:val="00002C9B"/>
    <w:rsid w:val="00026859"/>
    <w:rsid w:val="000440B1"/>
    <w:rsid w:val="000453FC"/>
    <w:rsid w:val="000571BC"/>
    <w:rsid w:val="00065B9D"/>
    <w:rsid w:val="00080A0C"/>
    <w:rsid w:val="00082AE8"/>
    <w:rsid w:val="0009287D"/>
    <w:rsid w:val="000A4E8E"/>
    <w:rsid w:val="000B4E91"/>
    <w:rsid w:val="000B640A"/>
    <w:rsid w:val="00114456"/>
    <w:rsid w:val="00115F02"/>
    <w:rsid w:val="00116605"/>
    <w:rsid w:val="00121455"/>
    <w:rsid w:val="00141D1F"/>
    <w:rsid w:val="001451F7"/>
    <w:rsid w:val="00145BD6"/>
    <w:rsid w:val="00147EC1"/>
    <w:rsid w:val="00151BCD"/>
    <w:rsid w:val="00153E65"/>
    <w:rsid w:val="001568AB"/>
    <w:rsid w:val="00205CEA"/>
    <w:rsid w:val="002140C4"/>
    <w:rsid w:val="002334D2"/>
    <w:rsid w:val="00236F1C"/>
    <w:rsid w:val="002942A4"/>
    <w:rsid w:val="002A6DDB"/>
    <w:rsid w:val="002B19CF"/>
    <w:rsid w:val="002D3904"/>
    <w:rsid w:val="002D4ECD"/>
    <w:rsid w:val="002F7ED1"/>
    <w:rsid w:val="00321D40"/>
    <w:rsid w:val="0034322D"/>
    <w:rsid w:val="00365A06"/>
    <w:rsid w:val="00366325"/>
    <w:rsid w:val="00394408"/>
    <w:rsid w:val="003E43C4"/>
    <w:rsid w:val="00403634"/>
    <w:rsid w:val="00453600"/>
    <w:rsid w:val="00465AFA"/>
    <w:rsid w:val="004940E7"/>
    <w:rsid w:val="004969CC"/>
    <w:rsid w:val="00497850"/>
    <w:rsid w:val="004A0899"/>
    <w:rsid w:val="004A1666"/>
    <w:rsid w:val="004A4600"/>
    <w:rsid w:val="004B0E3C"/>
    <w:rsid w:val="004B48A5"/>
    <w:rsid w:val="004B779B"/>
    <w:rsid w:val="004C4175"/>
    <w:rsid w:val="004C4EE0"/>
    <w:rsid w:val="00524FB3"/>
    <w:rsid w:val="00541633"/>
    <w:rsid w:val="005524B3"/>
    <w:rsid w:val="005524E9"/>
    <w:rsid w:val="00566FD4"/>
    <w:rsid w:val="00583DC1"/>
    <w:rsid w:val="00592F70"/>
    <w:rsid w:val="005A343D"/>
    <w:rsid w:val="00611DDD"/>
    <w:rsid w:val="006273C6"/>
    <w:rsid w:val="00666056"/>
    <w:rsid w:val="0068072E"/>
    <w:rsid w:val="006A071C"/>
    <w:rsid w:val="006A1646"/>
    <w:rsid w:val="006B08A1"/>
    <w:rsid w:val="00776CB8"/>
    <w:rsid w:val="00787918"/>
    <w:rsid w:val="007C05B9"/>
    <w:rsid w:val="00806CCA"/>
    <w:rsid w:val="008112D4"/>
    <w:rsid w:val="00817572"/>
    <w:rsid w:val="00822317"/>
    <w:rsid w:val="008352E6"/>
    <w:rsid w:val="00852F72"/>
    <w:rsid w:val="00856737"/>
    <w:rsid w:val="00857C08"/>
    <w:rsid w:val="00891B7D"/>
    <w:rsid w:val="008B50CA"/>
    <w:rsid w:val="008D0737"/>
    <w:rsid w:val="008F1E0F"/>
    <w:rsid w:val="008F2F2A"/>
    <w:rsid w:val="00920CF8"/>
    <w:rsid w:val="009433E4"/>
    <w:rsid w:val="00962437"/>
    <w:rsid w:val="009E7EC0"/>
    <w:rsid w:val="00A13CD8"/>
    <w:rsid w:val="00A22326"/>
    <w:rsid w:val="00A318C0"/>
    <w:rsid w:val="00A37A44"/>
    <w:rsid w:val="00A42F29"/>
    <w:rsid w:val="00A57B34"/>
    <w:rsid w:val="00A76A76"/>
    <w:rsid w:val="00A82913"/>
    <w:rsid w:val="00AD3547"/>
    <w:rsid w:val="00AE6518"/>
    <w:rsid w:val="00AF2CD3"/>
    <w:rsid w:val="00B61D72"/>
    <w:rsid w:val="00B87E29"/>
    <w:rsid w:val="00BB3794"/>
    <w:rsid w:val="00BD5A58"/>
    <w:rsid w:val="00BE56EA"/>
    <w:rsid w:val="00BF26AA"/>
    <w:rsid w:val="00BF2746"/>
    <w:rsid w:val="00C314FF"/>
    <w:rsid w:val="00CA300F"/>
    <w:rsid w:val="00CC0452"/>
    <w:rsid w:val="00CC13D6"/>
    <w:rsid w:val="00D06884"/>
    <w:rsid w:val="00D61166"/>
    <w:rsid w:val="00D750E4"/>
    <w:rsid w:val="00DA58DE"/>
    <w:rsid w:val="00DC0625"/>
    <w:rsid w:val="00DC3716"/>
    <w:rsid w:val="00DD2E02"/>
    <w:rsid w:val="00DE0F78"/>
    <w:rsid w:val="00DE69F0"/>
    <w:rsid w:val="00E41EA1"/>
    <w:rsid w:val="00E43FFA"/>
    <w:rsid w:val="00E57AC3"/>
    <w:rsid w:val="00E64096"/>
    <w:rsid w:val="00E96C51"/>
    <w:rsid w:val="00EB676E"/>
    <w:rsid w:val="00ED3326"/>
    <w:rsid w:val="00F03411"/>
    <w:rsid w:val="00F261C7"/>
    <w:rsid w:val="00F4354C"/>
    <w:rsid w:val="00F64630"/>
    <w:rsid w:val="00F70894"/>
    <w:rsid w:val="00F97FCD"/>
    <w:rsid w:val="00FB4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F261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4536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261C7"/>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Char"/>
    <w:uiPriority w:val="10"/>
    <w:qFormat/>
    <w:rsid w:val="00F261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F261C7"/>
    <w:rPr>
      <w:rFonts w:asciiTheme="majorHAnsi" w:eastAsiaTheme="majorEastAsia" w:hAnsiTheme="majorHAnsi" w:cstheme="majorBidi"/>
      <w:color w:val="17365D" w:themeColor="text2" w:themeShade="BF"/>
      <w:spacing w:val="5"/>
      <w:kern w:val="28"/>
      <w:sz w:val="52"/>
      <w:szCs w:val="52"/>
    </w:rPr>
  </w:style>
  <w:style w:type="paragraph" w:styleId="a4">
    <w:name w:val="Subtitle"/>
    <w:basedOn w:val="a"/>
    <w:next w:val="a"/>
    <w:link w:val="Char0"/>
    <w:uiPriority w:val="11"/>
    <w:qFormat/>
    <w:rsid w:val="002140C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4"/>
    <w:uiPriority w:val="11"/>
    <w:rsid w:val="002140C4"/>
    <w:rPr>
      <w:rFonts w:asciiTheme="majorHAnsi" w:eastAsiaTheme="majorEastAsia" w:hAnsiTheme="majorHAnsi" w:cstheme="majorBidi"/>
      <w:i/>
      <w:iCs/>
      <w:color w:val="4F81BD" w:themeColor="accent1"/>
      <w:spacing w:val="15"/>
      <w:sz w:val="24"/>
      <w:szCs w:val="24"/>
    </w:rPr>
  </w:style>
  <w:style w:type="paragraph" w:styleId="a5">
    <w:name w:val="List Paragraph"/>
    <w:basedOn w:val="a"/>
    <w:uiPriority w:val="34"/>
    <w:qFormat/>
    <w:rsid w:val="004A4600"/>
    <w:pPr>
      <w:ind w:left="720"/>
      <w:contextualSpacing/>
    </w:pPr>
  </w:style>
  <w:style w:type="table" w:styleId="a6">
    <w:name w:val="Table Grid"/>
    <w:basedOn w:val="a1"/>
    <w:uiPriority w:val="59"/>
    <w:rsid w:val="00CC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453600"/>
    <w:rPr>
      <w:rFonts w:asciiTheme="majorHAnsi" w:eastAsiaTheme="majorEastAsia" w:hAnsiTheme="majorHAnsi" w:cstheme="majorBidi"/>
      <w:b/>
      <w:bCs/>
      <w:color w:val="4F81BD" w:themeColor="accent1"/>
      <w:sz w:val="26"/>
      <w:szCs w:val="26"/>
    </w:rPr>
  </w:style>
  <w:style w:type="paragraph" w:styleId="a7">
    <w:name w:val="header"/>
    <w:basedOn w:val="a"/>
    <w:link w:val="Char1"/>
    <w:uiPriority w:val="99"/>
    <w:unhideWhenUsed/>
    <w:rsid w:val="00D06884"/>
    <w:pPr>
      <w:tabs>
        <w:tab w:val="center" w:pos="4320"/>
        <w:tab w:val="right" w:pos="8640"/>
      </w:tabs>
      <w:spacing w:after="0" w:line="240" w:lineRule="auto"/>
    </w:pPr>
  </w:style>
  <w:style w:type="character" w:customStyle="1" w:styleId="Char1">
    <w:name w:val="页眉 Char"/>
    <w:basedOn w:val="a0"/>
    <w:link w:val="a7"/>
    <w:uiPriority w:val="99"/>
    <w:rsid w:val="00D06884"/>
  </w:style>
  <w:style w:type="paragraph" w:styleId="a8">
    <w:name w:val="footer"/>
    <w:basedOn w:val="a"/>
    <w:link w:val="Char2"/>
    <w:uiPriority w:val="99"/>
    <w:unhideWhenUsed/>
    <w:rsid w:val="00D06884"/>
    <w:pPr>
      <w:tabs>
        <w:tab w:val="center" w:pos="4320"/>
        <w:tab w:val="right" w:pos="8640"/>
      </w:tabs>
      <w:spacing w:after="0" w:line="240" w:lineRule="auto"/>
    </w:pPr>
  </w:style>
  <w:style w:type="character" w:customStyle="1" w:styleId="Char2">
    <w:name w:val="页脚 Char"/>
    <w:basedOn w:val="a0"/>
    <w:link w:val="a8"/>
    <w:uiPriority w:val="99"/>
    <w:rsid w:val="00D06884"/>
  </w:style>
  <w:style w:type="paragraph" w:styleId="a9">
    <w:name w:val="Balloon Text"/>
    <w:basedOn w:val="a"/>
    <w:link w:val="Char3"/>
    <w:uiPriority w:val="99"/>
    <w:semiHidden/>
    <w:unhideWhenUsed/>
    <w:rsid w:val="00F70894"/>
    <w:pPr>
      <w:spacing w:after="0" w:line="240" w:lineRule="auto"/>
    </w:pPr>
    <w:rPr>
      <w:rFonts w:ascii="宋体" w:eastAsia="宋体"/>
      <w:sz w:val="18"/>
      <w:szCs w:val="18"/>
    </w:rPr>
  </w:style>
  <w:style w:type="character" w:customStyle="1" w:styleId="Char3">
    <w:name w:val="批注框文本 Char"/>
    <w:basedOn w:val="a0"/>
    <w:link w:val="a9"/>
    <w:uiPriority w:val="99"/>
    <w:semiHidden/>
    <w:rsid w:val="00F70894"/>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F261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4536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261C7"/>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Char"/>
    <w:uiPriority w:val="10"/>
    <w:qFormat/>
    <w:rsid w:val="00F261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F261C7"/>
    <w:rPr>
      <w:rFonts w:asciiTheme="majorHAnsi" w:eastAsiaTheme="majorEastAsia" w:hAnsiTheme="majorHAnsi" w:cstheme="majorBidi"/>
      <w:color w:val="17365D" w:themeColor="text2" w:themeShade="BF"/>
      <w:spacing w:val="5"/>
      <w:kern w:val="28"/>
      <w:sz w:val="52"/>
      <w:szCs w:val="52"/>
    </w:rPr>
  </w:style>
  <w:style w:type="paragraph" w:styleId="a4">
    <w:name w:val="Subtitle"/>
    <w:basedOn w:val="a"/>
    <w:next w:val="a"/>
    <w:link w:val="Char0"/>
    <w:uiPriority w:val="11"/>
    <w:qFormat/>
    <w:rsid w:val="002140C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4"/>
    <w:uiPriority w:val="11"/>
    <w:rsid w:val="002140C4"/>
    <w:rPr>
      <w:rFonts w:asciiTheme="majorHAnsi" w:eastAsiaTheme="majorEastAsia" w:hAnsiTheme="majorHAnsi" w:cstheme="majorBidi"/>
      <w:i/>
      <w:iCs/>
      <w:color w:val="4F81BD" w:themeColor="accent1"/>
      <w:spacing w:val="15"/>
      <w:sz w:val="24"/>
      <w:szCs w:val="24"/>
    </w:rPr>
  </w:style>
  <w:style w:type="paragraph" w:styleId="a5">
    <w:name w:val="List Paragraph"/>
    <w:basedOn w:val="a"/>
    <w:uiPriority w:val="34"/>
    <w:qFormat/>
    <w:rsid w:val="004A4600"/>
    <w:pPr>
      <w:ind w:left="720"/>
      <w:contextualSpacing/>
    </w:pPr>
  </w:style>
  <w:style w:type="table" w:styleId="a6">
    <w:name w:val="Table Grid"/>
    <w:basedOn w:val="a1"/>
    <w:uiPriority w:val="59"/>
    <w:rsid w:val="00CC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453600"/>
    <w:rPr>
      <w:rFonts w:asciiTheme="majorHAnsi" w:eastAsiaTheme="majorEastAsia" w:hAnsiTheme="majorHAnsi" w:cstheme="majorBidi"/>
      <w:b/>
      <w:bCs/>
      <w:color w:val="4F81BD" w:themeColor="accent1"/>
      <w:sz w:val="26"/>
      <w:szCs w:val="26"/>
    </w:rPr>
  </w:style>
  <w:style w:type="paragraph" w:styleId="a7">
    <w:name w:val="header"/>
    <w:basedOn w:val="a"/>
    <w:link w:val="Char1"/>
    <w:uiPriority w:val="99"/>
    <w:unhideWhenUsed/>
    <w:rsid w:val="00D06884"/>
    <w:pPr>
      <w:tabs>
        <w:tab w:val="center" w:pos="4320"/>
        <w:tab w:val="right" w:pos="8640"/>
      </w:tabs>
      <w:spacing w:after="0" w:line="240" w:lineRule="auto"/>
    </w:pPr>
  </w:style>
  <w:style w:type="character" w:customStyle="1" w:styleId="Char1">
    <w:name w:val="页眉 Char"/>
    <w:basedOn w:val="a0"/>
    <w:link w:val="a7"/>
    <w:uiPriority w:val="99"/>
    <w:rsid w:val="00D06884"/>
  </w:style>
  <w:style w:type="paragraph" w:styleId="a8">
    <w:name w:val="footer"/>
    <w:basedOn w:val="a"/>
    <w:link w:val="Char2"/>
    <w:uiPriority w:val="99"/>
    <w:unhideWhenUsed/>
    <w:rsid w:val="00D06884"/>
    <w:pPr>
      <w:tabs>
        <w:tab w:val="center" w:pos="4320"/>
        <w:tab w:val="right" w:pos="8640"/>
      </w:tabs>
      <w:spacing w:after="0" w:line="240" w:lineRule="auto"/>
    </w:pPr>
  </w:style>
  <w:style w:type="character" w:customStyle="1" w:styleId="Char2">
    <w:name w:val="页脚 Char"/>
    <w:basedOn w:val="a0"/>
    <w:link w:val="a8"/>
    <w:uiPriority w:val="99"/>
    <w:rsid w:val="00D06884"/>
  </w:style>
  <w:style w:type="paragraph" w:styleId="a9">
    <w:name w:val="Balloon Text"/>
    <w:basedOn w:val="a"/>
    <w:link w:val="Char3"/>
    <w:uiPriority w:val="99"/>
    <w:semiHidden/>
    <w:unhideWhenUsed/>
    <w:rsid w:val="00F70894"/>
    <w:pPr>
      <w:spacing w:after="0" w:line="240" w:lineRule="auto"/>
    </w:pPr>
    <w:rPr>
      <w:rFonts w:ascii="宋体" w:eastAsia="宋体"/>
      <w:sz w:val="18"/>
      <w:szCs w:val="18"/>
    </w:rPr>
  </w:style>
  <w:style w:type="character" w:customStyle="1" w:styleId="Char3">
    <w:name w:val="批注框文本 Char"/>
    <w:basedOn w:val="a0"/>
    <w:link w:val="a9"/>
    <w:uiPriority w:val="99"/>
    <w:semiHidden/>
    <w:rsid w:val="00F70894"/>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08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E:\a-study\QCF\2015Fall\System-computational%20fin\hw\final\result.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a-study\QCF\2015Fall\System-computational%20fin\hw\final\result.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Lbls>
            <c:showLegendKey val="0"/>
            <c:showVal val="0"/>
            <c:showCatName val="0"/>
            <c:showSerName val="0"/>
            <c:showPercent val="1"/>
            <c:showBubbleSize val="0"/>
            <c:showLeaderLines val="1"/>
          </c:dLbls>
          <c:cat>
            <c:strRef>
              <c:f>Sheet1!$C$3:$C$4</c:f>
              <c:strCache>
                <c:ptCount val="2"/>
                <c:pt idx="0">
                  <c:v>winning</c:v>
                </c:pt>
                <c:pt idx="1">
                  <c:v>losing</c:v>
                </c:pt>
              </c:strCache>
            </c:strRef>
          </c:cat>
          <c:val>
            <c:numRef>
              <c:f>Sheet1!$D$3:$D$4</c:f>
              <c:numCache>
                <c:formatCode>General</c:formatCode>
                <c:ptCount val="2"/>
                <c:pt idx="0">
                  <c:v>4</c:v>
                </c:pt>
                <c:pt idx="1">
                  <c:v>9</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marker>
            <c:symbol val="none"/>
          </c:marker>
          <c:cat>
            <c:strRef>
              <c:f>Sheet1!$A$1:$A$167</c:f>
              <c:strCache>
                <c:ptCount val="167"/>
                <c:pt idx="0">
                  <c:v>2011/January/3</c:v>
                </c:pt>
                <c:pt idx="1">
                  <c:v>2011/January/4</c:v>
                </c:pt>
                <c:pt idx="2">
                  <c:v>2011/January/5</c:v>
                </c:pt>
                <c:pt idx="3">
                  <c:v>2011/January/6</c:v>
                </c:pt>
                <c:pt idx="4">
                  <c:v>2011/January/7</c:v>
                </c:pt>
                <c:pt idx="5">
                  <c:v>2011/January/10</c:v>
                </c:pt>
                <c:pt idx="6">
                  <c:v>2011/January/11</c:v>
                </c:pt>
                <c:pt idx="7">
                  <c:v>2011/January/12</c:v>
                </c:pt>
                <c:pt idx="8">
                  <c:v>2011/January/13</c:v>
                </c:pt>
                <c:pt idx="9">
                  <c:v>2011/January/14</c:v>
                </c:pt>
                <c:pt idx="10">
                  <c:v>2011/January/18</c:v>
                </c:pt>
                <c:pt idx="11">
                  <c:v>2011/January/19</c:v>
                </c:pt>
                <c:pt idx="12">
                  <c:v>2011/January/20</c:v>
                </c:pt>
                <c:pt idx="13">
                  <c:v>2011/January/21</c:v>
                </c:pt>
                <c:pt idx="14">
                  <c:v>2011/January/24</c:v>
                </c:pt>
                <c:pt idx="15">
                  <c:v>2011/January/25</c:v>
                </c:pt>
                <c:pt idx="16">
                  <c:v>2011/January/26</c:v>
                </c:pt>
                <c:pt idx="17">
                  <c:v>2011/January/27</c:v>
                </c:pt>
                <c:pt idx="18">
                  <c:v>2011/January/28</c:v>
                </c:pt>
                <c:pt idx="19">
                  <c:v>2011/January/31</c:v>
                </c:pt>
                <c:pt idx="20">
                  <c:v>2011/February/1</c:v>
                </c:pt>
                <c:pt idx="21">
                  <c:v>2011/February/2</c:v>
                </c:pt>
                <c:pt idx="22">
                  <c:v>2011/February/3</c:v>
                </c:pt>
                <c:pt idx="23">
                  <c:v>2011/February/4</c:v>
                </c:pt>
                <c:pt idx="24">
                  <c:v>2011/February/7</c:v>
                </c:pt>
                <c:pt idx="25">
                  <c:v>2011/February/8</c:v>
                </c:pt>
                <c:pt idx="26">
                  <c:v>2011/February/9</c:v>
                </c:pt>
                <c:pt idx="27">
                  <c:v>2011/February/10</c:v>
                </c:pt>
                <c:pt idx="28">
                  <c:v>2011/February/11</c:v>
                </c:pt>
                <c:pt idx="29">
                  <c:v>2011/February/14</c:v>
                </c:pt>
                <c:pt idx="30">
                  <c:v>2011/February/15</c:v>
                </c:pt>
                <c:pt idx="31">
                  <c:v>2011/February/16</c:v>
                </c:pt>
                <c:pt idx="32">
                  <c:v>2011/February/17</c:v>
                </c:pt>
                <c:pt idx="33">
                  <c:v>2011/February/18</c:v>
                </c:pt>
                <c:pt idx="34">
                  <c:v>2011/February/22</c:v>
                </c:pt>
                <c:pt idx="35">
                  <c:v>2011/February/23</c:v>
                </c:pt>
                <c:pt idx="36">
                  <c:v>2011/February/24</c:v>
                </c:pt>
                <c:pt idx="37">
                  <c:v>2011/February/25</c:v>
                </c:pt>
                <c:pt idx="38">
                  <c:v>2011/February/28</c:v>
                </c:pt>
                <c:pt idx="39">
                  <c:v>2011/March/1</c:v>
                </c:pt>
                <c:pt idx="40">
                  <c:v>2011/March/2</c:v>
                </c:pt>
                <c:pt idx="41">
                  <c:v>2011/March/3</c:v>
                </c:pt>
                <c:pt idx="42">
                  <c:v>2011/March/4</c:v>
                </c:pt>
                <c:pt idx="43">
                  <c:v>2011/March/7</c:v>
                </c:pt>
                <c:pt idx="44">
                  <c:v>2011/March/8</c:v>
                </c:pt>
                <c:pt idx="45">
                  <c:v>2011/March/9</c:v>
                </c:pt>
                <c:pt idx="46">
                  <c:v>2011/March/10</c:v>
                </c:pt>
                <c:pt idx="47">
                  <c:v>2011/March/11</c:v>
                </c:pt>
                <c:pt idx="48">
                  <c:v>2011/March/14</c:v>
                </c:pt>
                <c:pt idx="49">
                  <c:v>2011/March/15</c:v>
                </c:pt>
                <c:pt idx="50">
                  <c:v>2011/March/16</c:v>
                </c:pt>
                <c:pt idx="51">
                  <c:v>2011/March/17</c:v>
                </c:pt>
                <c:pt idx="52">
                  <c:v>2011/March/18</c:v>
                </c:pt>
                <c:pt idx="53">
                  <c:v>2011/March/21</c:v>
                </c:pt>
                <c:pt idx="54">
                  <c:v>2011/March/22</c:v>
                </c:pt>
                <c:pt idx="55">
                  <c:v>2011/March/23</c:v>
                </c:pt>
                <c:pt idx="56">
                  <c:v>2011/March/24</c:v>
                </c:pt>
                <c:pt idx="57">
                  <c:v>2011/March/25</c:v>
                </c:pt>
                <c:pt idx="58">
                  <c:v>2011/March/28</c:v>
                </c:pt>
                <c:pt idx="59">
                  <c:v>2011/March/29</c:v>
                </c:pt>
                <c:pt idx="60">
                  <c:v>2011/March/30</c:v>
                </c:pt>
                <c:pt idx="61">
                  <c:v>2011/March/31</c:v>
                </c:pt>
                <c:pt idx="62">
                  <c:v>2011/April/1</c:v>
                </c:pt>
                <c:pt idx="63">
                  <c:v>2011/April/4</c:v>
                </c:pt>
                <c:pt idx="64">
                  <c:v>2011/April/5</c:v>
                </c:pt>
                <c:pt idx="65">
                  <c:v>2011/April/6</c:v>
                </c:pt>
                <c:pt idx="66">
                  <c:v>2011/April/7</c:v>
                </c:pt>
                <c:pt idx="67">
                  <c:v>2011/April/8</c:v>
                </c:pt>
                <c:pt idx="68">
                  <c:v>2011/April/11</c:v>
                </c:pt>
                <c:pt idx="69">
                  <c:v>2011/April/12</c:v>
                </c:pt>
                <c:pt idx="70">
                  <c:v>2011/April/13</c:v>
                </c:pt>
                <c:pt idx="71">
                  <c:v>2011/April/14</c:v>
                </c:pt>
                <c:pt idx="72">
                  <c:v>2011/April/15</c:v>
                </c:pt>
                <c:pt idx="73">
                  <c:v>2011/April/18</c:v>
                </c:pt>
                <c:pt idx="74">
                  <c:v>2011/April/19</c:v>
                </c:pt>
                <c:pt idx="75">
                  <c:v>2011/April/20</c:v>
                </c:pt>
                <c:pt idx="76">
                  <c:v>2011/April/21</c:v>
                </c:pt>
                <c:pt idx="77">
                  <c:v>2011/April/25</c:v>
                </c:pt>
                <c:pt idx="78">
                  <c:v>2011/April/26</c:v>
                </c:pt>
                <c:pt idx="79">
                  <c:v>2011/April/27</c:v>
                </c:pt>
                <c:pt idx="80">
                  <c:v>2011/April/28</c:v>
                </c:pt>
                <c:pt idx="81">
                  <c:v>2011/April/29</c:v>
                </c:pt>
                <c:pt idx="82">
                  <c:v>2011/May/2</c:v>
                </c:pt>
                <c:pt idx="83">
                  <c:v>2011/May/3</c:v>
                </c:pt>
                <c:pt idx="84">
                  <c:v>2011/May/4</c:v>
                </c:pt>
                <c:pt idx="85">
                  <c:v>2011/May/5</c:v>
                </c:pt>
                <c:pt idx="86">
                  <c:v>2011/May/6</c:v>
                </c:pt>
                <c:pt idx="87">
                  <c:v>2011/May/9</c:v>
                </c:pt>
                <c:pt idx="88">
                  <c:v>2011/May/10</c:v>
                </c:pt>
                <c:pt idx="89">
                  <c:v>2011/May/11</c:v>
                </c:pt>
                <c:pt idx="90">
                  <c:v>2011/May/12</c:v>
                </c:pt>
                <c:pt idx="91">
                  <c:v>2011/May/13</c:v>
                </c:pt>
                <c:pt idx="92">
                  <c:v>2011/May/16</c:v>
                </c:pt>
                <c:pt idx="93">
                  <c:v>2011/May/17</c:v>
                </c:pt>
                <c:pt idx="94">
                  <c:v>2011/May/18</c:v>
                </c:pt>
                <c:pt idx="95">
                  <c:v>2011/May/19</c:v>
                </c:pt>
                <c:pt idx="96">
                  <c:v>2011/May/20</c:v>
                </c:pt>
                <c:pt idx="97">
                  <c:v>2011/May/23</c:v>
                </c:pt>
                <c:pt idx="98">
                  <c:v>2011/May/24</c:v>
                </c:pt>
                <c:pt idx="99">
                  <c:v>2011/May/25</c:v>
                </c:pt>
                <c:pt idx="100">
                  <c:v>2011/May/26</c:v>
                </c:pt>
                <c:pt idx="101">
                  <c:v>2011/May/27</c:v>
                </c:pt>
                <c:pt idx="102">
                  <c:v>2011/May/31</c:v>
                </c:pt>
                <c:pt idx="103">
                  <c:v>2011/June/1</c:v>
                </c:pt>
                <c:pt idx="104">
                  <c:v>2011/June/2</c:v>
                </c:pt>
                <c:pt idx="105">
                  <c:v>2011/June/3</c:v>
                </c:pt>
                <c:pt idx="106">
                  <c:v>2011/June/6</c:v>
                </c:pt>
                <c:pt idx="107">
                  <c:v>2011/June/7</c:v>
                </c:pt>
                <c:pt idx="108">
                  <c:v>2011/June/8</c:v>
                </c:pt>
                <c:pt idx="109">
                  <c:v>2011/June/9</c:v>
                </c:pt>
                <c:pt idx="110">
                  <c:v>2011/June/10</c:v>
                </c:pt>
                <c:pt idx="111">
                  <c:v>2011/June/13</c:v>
                </c:pt>
                <c:pt idx="112">
                  <c:v>2011/June/14</c:v>
                </c:pt>
                <c:pt idx="113">
                  <c:v>2011/June/15</c:v>
                </c:pt>
                <c:pt idx="114">
                  <c:v>2011/June/16</c:v>
                </c:pt>
                <c:pt idx="115">
                  <c:v>2011/June/17</c:v>
                </c:pt>
                <c:pt idx="116">
                  <c:v>2011/June/20</c:v>
                </c:pt>
                <c:pt idx="117">
                  <c:v>2011/June/21</c:v>
                </c:pt>
                <c:pt idx="118">
                  <c:v>2011/June/22</c:v>
                </c:pt>
                <c:pt idx="119">
                  <c:v>2011/June/23</c:v>
                </c:pt>
                <c:pt idx="120">
                  <c:v>2011/June/24</c:v>
                </c:pt>
                <c:pt idx="121">
                  <c:v>2011/June/27</c:v>
                </c:pt>
                <c:pt idx="122">
                  <c:v>2011/June/28</c:v>
                </c:pt>
                <c:pt idx="123">
                  <c:v>2011/June/29</c:v>
                </c:pt>
                <c:pt idx="124">
                  <c:v>2011/June/30</c:v>
                </c:pt>
                <c:pt idx="125">
                  <c:v>2011/July/1</c:v>
                </c:pt>
                <c:pt idx="126">
                  <c:v>2011/July/5</c:v>
                </c:pt>
                <c:pt idx="127">
                  <c:v>2011/July/6</c:v>
                </c:pt>
                <c:pt idx="128">
                  <c:v>2011/July/7</c:v>
                </c:pt>
                <c:pt idx="129">
                  <c:v>2011/July/8</c:v>
                </c:pt>
                <c:pt idx="130">
                  <c:v>2011/July/11</c:v>
                </c:pt>
                <c:pt idx="131">
                  <c:v>2011/July/12</c:v>
                </c:pt>
                <c:pt idx="132">
                  <c:v>2011/July/13</c:v>
                </c:pt>
                <c:pt idx="133">
                  <c:v>2011/July/14</c:v>
                </c:pt>
                <c:pt idx="134">
                  <c:v>2011/July/15</c:v>
                </c:pt>
                <c:pt idx="135">
                  <c:v>2011/July/18</c:v>
                </c:pt>
                <c:pt idx="136">
                  <c:v>2011/July/19</c:v>
                </c:pt>
                <c:pt idx="137">
                  <c:v>2011/July/20</c:v>
                </c:pt>
                <c:pt idx="138">
                  <c:v>2011/July/21</c:v>
                </c:pt>
                <c:pt idx="139">
                  <c:v>2011/July/22</c:v>
                </c:pt>
                <c:pt idx="140">
                  <c:v>2011/July/25</c:v>
                </c:pt>
                <c:pt idx="141">
                  <c:v>2011/July/26</c:v>
                </c:pt>
                <c:pt idx="142">
                  <c:v>2011/July/27</c:v>
                </c:pt>
                <c:pt idx="143">
                  <c:v>2011/July/28</c:v>
                </c:pt>
                <c:pt idx="144">
                  <c:v>2011/July/29</c:v>
                </c:pt>
                <c:pt idx="145">
                  <c:v>2011/August/1</c:v>
                </c:pt>
                <c:pt idx="146">
                  <c:v>2011/August/2</c:v>
                </c:pt>
                <c:pt idx="147">
                  <c:v>2011/August/3</c:v>
                </c:pt>
                <c:pt idx="148">
                  <c:v>2011/August/4</c:v>
                </c:pt>
                <c:pt idx="149">
                  <c:v>2011/August/5</c:v>
                </c:pt>
                <c:pt idx="150">
                  <c:v>2011/August/8</c:v>
                </c:pt>
                <c:pt idx="151">
                  <c:v>2011/August/9</c:v>
                </c:pt>
                <c:pt idx="152">
                  <c:v>2011/August/10</c:v>
                </c:pt>
                <c:pt idx="153">
                  <c:v>2011/August/11</c:v>
                </c:pt>
                <c:pt idx="154">
                  <c:v>2011/August/12</c:v>
                </c:pt>
                <c:pt idx="155">
                  <c:v>2011/August/15</c:v>
                </c:pt>
                <c:pt idx="156">
                  <c:v>2011/August/16</c:v>
                </c:pt>
                <c:pt idx="157">
                  <c:v>2011/August/17</c:v>
                </c:pt>
                <c:pt idx="158">
                  <c:v>2011/August/18</c:v>
                </c:pt>
                <c:pt idx="159">
                  <c:v>2011/August/19</c:v>
                </c:pt>
                <c:pt idx="160">
                  <c:v>2011/August/22</c:v>
                </c:pt>
                <c:pt idx="161">
                  <c:v>2011/August/23</c:v>
                </c:pt>
                <c:pt idx="162">
                  <c:v>2011/August/24</c:v>
                </c:pt>
                <c:pt idx="163">
                  <c:v>2011/August/25</c:v>
                </c:pt>
                <c:pt idx="164">
                  <c:v>2011/August/26</c:v>
                </c:pt>
                <c:pt idx="165">
                  <c:v>2011/August/29</c:v>
                </c:pt>
                <c:pt idx="166">
                  <c:v>2011/August/30</c:v>
                </c:pt>
              </c:strCache>
            </c:strRef>
          </c:cat>
          <c:val>
            <c:numRef>
              <c:f>Sheet1!$B$1:$B$167</c:f>
              <c:numCache>
                <c:formatCode>0.00E+00</c:formatCode>
                <c:ptCount val="167"/>
                <c:pt idx="0">
                  <c:v>1000000</c:v>
                </c:pt>
                <c:pt idx="1">
                  <c:v>1000000</c:v>
                </c:pt>
                <c:pt idx="2">
                  <c:v>1000000</c:v>
                </c:pt>
                <c:pt idx="3">
                  <c:v>1000000</c:v>
                </c:pt>
                <c:pt idx="4">
                  <c:v>1000000</c:v>
                </c:pt>
                <c:pt idx="5">
                  <c:v>1000000</c:v>
                </c:pt>
                <c:pt idx="6">
                  <c:v>1000000</c:v>
                </c:pt>
                <c:pt idx="7">
                  <c:v>1000000</c:v>
                </c:pt>
                <c:pt idx="8" formatCode="General">
                  <c:v>999908</c:v>
                </c:pt>
                <c:pt idx="9" formatCode="General">
                  <c:v>999174</c:v>
                </c:pt>
                <c:pt idx="10" formatCode="General">
                  <c:v>997663</c:v>
                </c:pt>
                <c:pt idx="11" formatCode="General">
                  <c:v>998433</c:v>
                </c:pt>
                <c:pt idx="12" formatCode="General">
                  <c:v>998920</c:v>
                </c:pt>
                <c:pt idx="13">
                  <c:v>1000380</c:v>
                </c:pt>
                <c:pt idx="14">
                  <c:v>1000460</c:v>
                </c:pt>
                <c:pt idx="15" formatCode="General">
                  <c:v>999593</c:v>
                </c:pt>
                <c:pt idx="16" formatCode="General">
                  <c:v>999928</c:v>
                </c:pt>
                <c:pt idx="17" formatCode="General">
                  <c:v>999899</c:v>
                </c:pt>
                <c:pt idx="18">
                  <c:v>1001450</c:v>
                </c:pt>
                <c:pt idx="19">
                  <c:v>1001510</c:v>
                </c:pt>
                <c:pt idx="20">
                  <c:v>1000460</c:v>
                </c:pt>
                <c:pt idx="21">
                  <c:v>1000370</c:v>
                </c:pt>
                <c:pt idx="22">
                  <c:v>1000550</c:v>
                </c:pt>
                <c:pt idx="23">
                  <c:v>1000470</c:v>
                </c:pt>
                <c:pt idx="24">
                  <c:v>1000140</c:v>
                </c:pt>
                <c:pt idx="25" formatCode="General">
                  <c:v>999743</c:v>
                </c:pt>
                <c:pt idx="26" formatCode="General">
                  <c:v>999926</c:v>
                </c:pt>
                <c:pt idx="27" formatCode="General">
                  <c:v>999932</c:v>
                </c:pt>
                <c:pt idx="28" formatCode="General">
                  <c:v>999144</c:v>
                </c:pt>
                <c:pt idx="29" formatCode="General">
                  <c:v>998786</c:v>
                </c:pt>
                <c:pt idx="30" formatCode="General">
                  <c:v>999178</c:v>
                </c:pt>
                <c:pt idx="31" formatCode="General">
                  <c:v>999171</c:v>
                </c:pt>
                <c:pt idx="32" formatCode="General">
                  <c:v>999069</c:v>
                </c:pt>
                <c:pt idx="33" formatCode="General">
                  <c:v>998597</c:v>
                </c:pt>
                <c:pt idx="34">
                  <c:v>1000540</c:v>
                </c:pt>
                <c:pt idx="35">
                  <c:v>1000440</c:v>
                </c:pt>
                <c:pt idx="36">
                  <c:v>1000680</c:v>
                </c:pt>
                <c:pt idx="37">
                  <c:v>1000560</c:v>
                </c:pt>
                <c:pt idx="38">
                  <c:v>1000230</c:v>
                </c:pt>
                <c:pt idx="39">
                  <c:v>1001470</c:v>
                </c:pt>
                <c:pt idx="40">
                  <c:v>1001470</c:v>
                </c:pt>
                <c:pt idx="41">
                  <c:v>1000610</c:v>
                </c:pt>
                <c:pt idx="42">
                  <c:v>1001480</c:v>
                </c:pt>
                <c:pt idx="43">
                  <c:v>1002360</c:v>
                </c:pt>
                <c:pt idx="44">
                  <c:v>1002300</c:v>
                </c:pt>
                <c:pt idx="45">
                  <c:v>1002350</c:v>
                </c:pt>
                <c:pt idx="46">
                  <c:v>1003470</c:v>
                </c:pt>
                <c:pt idx="47">
                  <c:v>1003820</c:v>
                </c:pt>
                <c:pt idx="48">
                  <c:v>1004480</c:v>
                </c:pt>
                <c:pt idx="49">
                  <c:v>1004520</c:v>
                </c:pt>
                <c:pt idx="50">
                  <c:v>1005750</c:v>
                </c:pt>
                <c:pt idx="51">
                  <c:v>1005330</c:v>
                </c:pt>
                <c:pt idx="52">
                  <c:v>1005360</c:v>
                </c:pt>
                <c:pt idx="53">
                  <c:v>1003840</c:v>
                </c:pt>
                <c:pt idx="54">
                  <c:v>1003760</c:v>
                </c:pt>
                <c:pt idx="55">
                  <c:v>1003290</c:v>
                </c:pt>
                <c:pt idx="56">
                  <c:v>1002830</c:v>
                </c:pt>
                <c:pt idx="57">
                  <c:v>1003530</c:v>
                </c:pt>
                <c:pt idx="58">
                  <c:v>1003960</c:v>
                </c:pt>
                <c:pt idx="59">
                  <c:v>1003330</c:v>
                </c:pt>
                <c:pt idx="60">
                  <c:v>1003320</c:v>
                </c:pt>
                <c:pt idx="61">
                  <c:v>1002840</c:v>
                </c:pt>
                <c:pt idx="62">
                  <c:v>1002350</c:v>
                </c:pt>
                <c:pt idx="63">
                  <c:v>1002750</c:v>
                </c:pt>
                <c:pt idx="64">
                  <c:v>1004570</c:v>
                </c:pt>
                <c:pt idx="65">
                  <c:v>1004070</c:v>
                </c:pt>
                <c:pt idx="66">
                  <c:v>1003500</c:v>
                </c:pt>
                <c:pt idx="67">
                  <c:v>1003680</c:v>
                </c:pt>
                <c:pt idx="68">
                  <c:v>1003760</c:v>
                </c:pt>
                <c:pt idx="69">
                  <c:v>1004420</c:v>
                </c:pt>
                <c:pt idx="70">
                  <c:v>1003870</c:v>
                </c:pt>
                <c:pt idx="71">
                  <c:v>1003650</c:v>
                </c:pt>
                <c:pt idx="72">
                  <c:v>1008330</c:v>
                </c:pt>
                <c:pt idx="73">
                  <c:v>1008710</c:v>
                </c:pt>
                <c:pt idx="74">
                  <c:v>1009150</c:v>
                </c:pt>
                <c:pt idx="75">
                  <c:v>1009150</c:v>
                </c:pt>
                <c:pt idx="76">
                  <c:v>1009150</c:v>
                </c:pt>
                <c:pt idx="77">
                  <c:v>1009150</c:v>
                </c:pt>
                <c:pt idx="78">
                  <c:v>1009150</c:v>
                </c:pt>
                <c:pt idx="79">
                  <c:v>1009150</c:v>
                </c:pt>
                <c:pt idx="80">
                  <c:v>1009150</c:v>
                </c:pt>
                <c:pt idx="81">
                  <c:v>1009140</c:v>
                </c:pt>
                <c:pt idx="82">
                  <c:v>1009200</c:v>
                </c:pt>
                <c:pt idx="83">
                  <c:v>1009240</c:v>
                </c:pt>
                <c:pt idx="84">
                  <c:v>1009240</c:v>
                </c:pt>
                <c:pt idx="85">
                  <c:v>1009240</c:v>
                </c:pt>
                <c:pt idx="86">
                  <c:v>1009240</c:v>
                </c:pt>
                <c:pt idx="87">
                  <c:v>1009240</c:v>
                </c:pt>
                <c:pt idx="88">
                  <c:v>1009240</c:v>
                </c:pt>
                <c:pt idx="89">
                  <c:v>1009240</c:v>
                </c:pt>
                <c:pt idx="90">
                  <c:v>1009240</c:v>
                </c:pt>
                <c:pt idx="91">
                  <c:v>1009240</c:v>
                </c:pt>
                <c:pt idx="92">
                  <c:v>1009240</c:v>
                </c:pt>
                <c:pt idx="93">
                  <c:v>1009430</c:v>
                </c:pt>
                <c:pt idx="94">
                  <c:v>1009420</c:v>
                </c:pt>
                <c:pt idx="95">
                  <c:v>1009430</c:v>
                </c:pt>
                <c:pt idx="96">
                  <c:v>1009400</c:v>
                </c:pt>
                <c:pt idx="97">
                  <c:v>1009370</c:v>
                </c:pt>
                <c:pt idx="98">
                  <c:v>1009370</c:v>
                </c:pt>
                <c:pt idx="99">
                  <c:v>1009390</c:v>
                </c:pt>
                <c:pt idx="100">
                  <c:v>1009360</c:v>
                </c:pt>
                <c:pt idx="101">
                  <c:v>1009410</c:v>
                </c:pt>
                <c:pt idx="102">
                  <c:v>1009550</c:v>
                </c:pt>
                <c:pt idx="103">
                  <c:v>1009530</c:v>
                </c:pt>
                <c:pt idx="104">
                  <c:v>1009550</c:v>
                </c:pt>
                <c:pt idx="105">
                  <c:v>1009510</c:v>
                </c:pt>
                <c:pt idx="106">
                  <c:v>1009490</c:v>
                </c:pt>
                <c:pt idx="107">
                  <c:v>1009470</c:v>
                </c:pt>
                <c:pt idx="108">
                  <c:v>1009470</c:v>
                </c:pt>
                <c:pt idx="109">
                  <c:v>1009420</c:v>
                </c:pt>
                <c:pt idx="110">
                  <c:v>1009280</c:v>
                </c:pt>
                <c:pt idx="111">
                  <c:v>1009130</c:v>
                </c:pt>
                <c:pt idx="112">
                  <c:v>1009240</c:v>
                </c:pt>
                <c:pt idx="113">
                  <c:v>1009070</c:v>
                </c:pt>
                <c:pt idx="114">
                  <c:v>1008990</c:v>
                </c:pt>
                <c:pt idx="115">
                  <c:v>1008510</c:v>
                </c:pt>
                <c:pt idx="116">
                  <c:v>1008480</c:v>
                </c:pt>
                <c:pt idx="117">
                  <c:v>1008940</c:v>
                </c:pt>
                <c:pt idx="118">
                  <c:v>1008610</c:v>
                </c:pt>
                <c:pt idx="119">
                  <c:v>1008230</c:v>
                </c:pt>
                <c:pt idx="120">
                  <c:v>1007890</c:v>
                </c:pt>
                <c:pt idx="121">
                  <c:v>1008400</c:v>
                </c:pt>
                <c:pt idx="122">
                  <c:v>1009100</c:v>
                </c:pt>
                <c:pt idx="123">
                  <c:v>1009310</c:v>
                </c:pt>
                <c:pt idx="124">
                  <c:v>1009770</c:v>
                </c:pt>
                <c:pt idx="125">
                  <c:v>1010360</c:v>
                </c:pt>
                <c:pt idx="126">
                  <c:v>1010600</c:v>
                </c:pt>
                <c:pt idx="127">
                  <c:v>1010610</c:v>
                </c:pt>
                <c:pt idx="128">
                  <c:v>1010670</c:v>
                </c:pt>
                <c:pt idx="129">
                  <c:v>1010850</c:v>
                </c:pt>
                <c:pt idx="130">
                  <c:v>1010820</c:v>
                </c:pt>
                <c:pt idx="131">
                  <c:v>1010860</c:v>
                </c:pt>
                <c:pt idx="132">
                  <c:v>1010890</c:v>
                </c:pt>
                <c:pt idx="133">
                  <c:v>1010840</c:v>
                </c:pt>
                <c:pt idx="134">
                  <c:v>1011230</c:v>
                </c:pt>
                <c:pt idx="135">
                  <c:v>1011230</c:v>
                </c:pt>
                <c:pt idx="136">
                  <c:v>1011230</c:v>
                </c:pt>
                <c:pt idx="137">
                  <c:v>1011230</c:v>
                </c:pt>
                <c:pt idx="138">
                  <c:v>1011230</c:v>
                </c:pt>
                <c:pt idx="139">
                  <c:v>1011230</c:v>
                </c:pt>
                <c:pt idx="140">
                  <c:v>1011230</c:v>
                </c:pt>
                <c:pt idx="141">
                  <c:v>1011230</c:v>
                </c:pt>
                <c:pt idx="142">
                  <c:v>1011230</c:v>
                </c:pt>
                <c:pt idx="143">
                  <c:v>1011230</c:v>
                </c:pt>
                <c:pt idx="144">
                  <c:v>1011230</c:v>
                </c:pt>
                <c:pt idx="145">
                  <c:v>1011230</c:v>
                </c:pt>
                <c:pt idx="146">
                  <c:v>1011230</c:v>
                </c:pt>
                <c:pt idx="147">
                  <c:v>1011230</c:v>
                </c:pt>
                <c:pt idx="148">
                  <c:v>1011230</c:v>
                </c:pt>
                <c:pt idx="149">
                  <c:v>1011250</c:v>
                </c:pt>
                <c:pt idx="150">
                  <c:v>1010760</c:v>
                </c:pt>
                <c:pt idx="151">
                  <c:v>1011610</c:v>
                </c:pt>
                <c:pt idx="152">
                  <c:v>1011610</c:v>
                </c:pt>
                <c:pt idx="153">
                  <c:v>1011610</c:v>
                </c:pt>
                <c:pt idx="154">
                  <c:v>1011610</c:v>
                </c:pt>
                <c:pt idx="155">
                  <c:v>1011610</c:v>
                </c:pt>
                <c:pt idx="156">
                  <c:v>1011610</c:v>
                </c:pt>
                <c:pt idx="157">
                  <c:v>1011610</c:v>
                </c:pt>
                <c:pt idx="158">
                  <c:v>1011610</c:v>
                </c:pt>
                <c:pt idx="159">
                  <c:v>1011610</c:v>
                </c:pt>
                <c:pt idx="160">
                  <c:v>1011610</c:v>
                </c:pt>
                <c:pt idx="161">
                  <c:v>1011610</c:v>
                </c:pt>
                <c:pt idx="162">
                  <c:v>1011610</c:v>
                </c:pt>
                <c:pt idx="163">
                  <c:v>1011610</c:v>
                </c:pt>
                <c:pt idx="164">
                  <c:v>1011610</c:v>
                </c:pt>
                <c:pt idx="165">
                  <c:v>1011610</c:v>
                </c:pt>
                <c:pt idx="166">
                  <c:v>1011610</c:v>
                </c:pt>
              </c:numCache>
            </c:numRef>
          </c:val>
          <c:smooth val="0"/>
        </c:ser>
        <c:dLbls>
          <c:showLegendKey val="0"/>
          <c:showVal val="0"/>
          <c:showCatName val="0"/>
          <c:showSerName val="0"/>
          <c:showPercent val="0"/>
          <c:showBubbleSize val="0"/>
        </c:dLbls>
        <c:marker val="1"/>
        <c:smooth val="0"/>
        <c:axId val="158209024"/>
        <c:axId val="155546688"/>
      </c:lineChart>
      <c:catAx>
        <c:axId val="158209024"/>
        <c:scaling>
          <c:orientation val="minMax"/>
        </c:scaling>
        <c:delete val="0"/>
        <c:axPos val="b"/>
        <c:majorTickMark val="out"/>
        <c:minorTickMark val="none"/>
        <c:tickLblPos val="nextTo"/>
        <c:crossAx val="155546688"/>
        <c:crosses val="autoZero"/>
        <c:auto val="1"/>
        <c:lblAlgn val="ctr"/>
        <c:lblOffset val="100"/>
        <c:noMultiLvlLbl val="0"/>
      </c:catAx>
      <c:valAx>
        <c:axId val="155546688"/>
        <c:scaling>
          <c:orientation val="minMax"/>
        </c:scaling>
        <c:delete val="0"/>
        <c:axPos val="l"/>
        <c:majorGridlines/>
        <c:numFmt formatCode="0.00E+00" sourceLinked="1"/>
        <c:majorTickMark val="out"/>
        <c:minorTickMark val="none"/>
        <c:tickLblPos val="nextTo"/>
        <c:crossAx val="158209024"/>
        <c:crosses val="autoZero"/>
        <c:crossBetween val="between"/>
      </c:valAx>
    </c:plotArea>
    <c:plotVisOnly val="1"/>
    <c:dispBlanksAs val="zero"/>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dc:creator>
  <cp:keywords/>
  <dc:description/>
  <cp:lastModifiedBy>Quan</cp:lastModifiedBy>
  <cp:revision>128</cp:revision>
  <dcterms:created xsi:type="dcterms:W3CDTF">2015-12-11T00:22:00Z</dcterms:created>
  <dcterms:modified xsi:type="dcterms:W3CDTF">2015-12-11T05:13:00Z</dcterms:modified>
</cp:coreProperties>
</file>