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PropFlow – FE-08 Detailed Review</w:t>
      </w:r>
    </w:p>
    <w:p>
      <w:pPr>
        <w:jc w:val="center"/>
      </w:pPr>
      <w:r>
        <w:rPr>
          <w:b w:val="0"/>
        </w:rPr>
        <w:t>PropFlow</w:t>
        <w:br/>
      </w:r>
      <w:r>
        <w:rPr>
          <w:b/>
        </w:rPr>
        <w:t>FE-08 – Fee &amp; Invoice Management</w:t>
        <w:br/>
      </w:r>
      <w:r>
        <w:rPr>
          <w:b w:val="0"/>
        </w:rPr>
        <w:t>Detailed Feature Review for Report 1</w:t>
        <w:br/>
      </w:r>
      <w:r>
        <w:rPr>
          <w:b w:val="0"/>
        </w:rPr>
        <w:t>Updated baseline: consistent structure, sub-feature traceability, and access-scope rules</w:t>
      </w:r>
    </w:p>
    <w:p>
      <w:pPr>
        <w:pStyle w:val="Heading1"/>
        <w:pageBreakBefore w:val="0"/>
      </w:pPr>
      <w:r>
        <w:t>1. Feature Purpose and Scope</w:t>
      </w:r>
    </w:p>
    <w:p>
      <w:r>
        <w:t>FE-08 manages the billing side of apartment finance: supported fee types, fee rates or charging rules, apartment invoice generation, draft review, invoice issuance, and authorized invoice access. FE-08 answers what must be paid. Payment transactions, settlement, outstanding balances, and overdue debt remain in FE-09.</w:t>
      </w:r>
    </w:p>
    <w:p>
      <w:r>
        <w:t>Scope note: FE-08 extends the original PropFlow proposal to support the five-actor Report 1 baseline. The original Capstone Register does not explicitly include Accountant, Fee, Invoice, Payment, or Debt management.</w:t>
      </w:r>
    </w:p>
    <w:p>
      <w:pPr>
        <w:spacing w:before="80" w:after="160"/>
        <w:jc w:val="center"/>
      </w:pPr>
      <w:r>
        <w:rPr>
          <w:rFonts w:ascii="Consolas" w:hAnsi="Consolas"/>
          <w:sz w:val="18"/>
        </w:rPr>
        <w:t>Accountant → Configure Fees → Generate Draft Invoice → Review Draft → Issue Invoice → Resident Views Invoice → FE-09 Payment and Debt</w:t>
      </w:r>
    </w:p>
    <w:p>
      <w:pPr>
        <w:pStyle w:val="Heading1"/>
        <w:pageBreakBefore w:val="0"/>
      </w:pPr>
      <w:r>
        <w:t>2. Actors and Responsibilities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440"/>
            <w:shd w:fill="1F4E78"/>
            <w:vAlign w:val="center"/>
            <w:tcMar>
              <w:top w:w="90" w:type="dxa"/>
              <w:start w:w="100" w:type="dxa"/>
              <w:bottom w:w="90" w:type="dxa"/>
              <w:end w:w="100" w:type="dxa"/>
            </w:tcMar>
          </w:tcPr>
          <w:p>
            <w:pPr>
              <w:jc w:val="center"/>
            </w:pPr>
            <w:r>
              <w:rPr>
                <w:rFonts w:ascii="Arial" w:hAnsi="Arial"/>
                <w:b/>
                <w:color w:val="FFFFFF"/>
                <w:sz w:val="17"/>
              </w:rPr>
              <w:t>Actor</w:t>
            </w:r>
          </w:p>
        </w:tc>
        <w:tc>
          <w:tcPr>
            <w:tcW w:type="dxa" w:w="6912"/>
            <w:shd w:fill="1F4E78"/>
            <w:vAlign w:val="center"/>
            <w:tcMar>
              <w:top w:w="90" w:type="dxa"/>
              <w:start w:w="100" w:type="dxa"/>
              <w:bottom w:w="90" w:type="dxa"/>
              <w:end w:w="100" w:type="dxa"/>
            </w:tcMar>
          </w:tcPr>
          <w:p>
            <w:pPr>
              <w:jc w:val="center"/>
            </w:pPr>
            <w:r>
              <w:rPr>
                <w:rFonts w:ascii="Arial" w:hAnsi="Arial"/>
                <w:b/>
                <w:color w:val="FFFFFF"/>
                <w:sz w:val="17"/>
              </w:rPr>
              <w:t>Role in FE-08</w:t>
            </w:r>
          </w:p>
        </w:tc>
        <w:tc>
          <w:tcPr>
            <w:tcW w:type="dxa" w:w="1728"/>
            <w:shd w:fill="1F4E78"/>
            <w:vAlign w:val="center"/>
            <w:tcMar>
              <w:top w:w="90" w:type="dxa"/>
              <w:start w:w="100" w:type="dxa"/>
              <w:bottom w:w="90" w:type="dxa"/>
              <w:end w:w="100" w:type="dxa"/>
            </w:tcMar>
          </w:tcPr>
          <w:p>
            <w:pPr>
              <w:jc w:val="center"/>
            </w:pPr>
            <w:r>
              <w:rPr>
                <w:rFonts w:ascii="Arial" w:hAnsi="Arial"/>
                <w:b/>
                <w:color w:val="FFFFFF"/>
                <w:sz w:val="17"/>
              </w:rPr>
              <w:t>Access Level</w:t>
            </w:r>
          </w:p>
        </w:tc>
      </w:tr>
      <w:tr>
        <w:trPr>
          <w:cantSplit w:val="true"/>
        </w:trPr>
        <w:tc>
          <w:tcPr>
            <w:tcW w:type="dxa" w:w="1440"/>
            <w:vAlign w:val="center"/>
            <w:tcMar>
              <w:top w:w="90" w:type="dxa"/>
              <w:start w:w="100" w:type="dxa"/>
              <w:bottom w:w="90" w:type="dxa"/>
              <w:end w:w="100" w:type="dxa"/>
            </w:tcMar>
          </w:tcPr>
          <w:p>
            <w:pPr>
              <w:spacing w:after="0"/>
              <w:jc w:val="center"/>
            </w:pPr>
            <w:r>
              <w:rPr>
                <w:rFonts w:ascii="Arial" w:hAnsi="Arial"/>
                <w:sz w:val="17"/>
              </w:rPr>
              <w:t>Accountant</w:t>
            </w:r>
          </w:p>
        </w:tc>
        <w:tc>
          <w:tcPr>
            <w:tcW w:type="dxa" w:w="6912"/>
            <w:vAlign w:val="center"/>
            <w:tcMar>
              <w:top w:w="90" w:type="dxa"/>
              <w:start w:w="100" w:type="dxa"/>
              <w:bottom w:w="90" w:type="dxa"/>
              <w:end w:w="100" w:type="dxa"/>
            </w:tcMar>
          </w:tcPr>
          <w:p>
            <w:pPr>
              <w:spacing w:after="0"/>
              <w:jc w:val="left"/>
            </w:pPr>
            <w:r>
              <w:rPr>
                <w:rFonts w:ascii="Arial" w:hAnsi="Arial"/>
                <w:sz w:val="17"/>
              </w:rPr>
              <w:t>Manage supported fee configuration and the invoice lifecycle within the permitted financial scope.</w:t>
            </w:r>
          </w:p>
        </w:tc>
        <w:tc>
          <w:tcPr>
            <w:tcW w:type="dxa" w:w="1728"/>
            <w:vAlign w:val="center"/>
            <w:tcMar>
              <w:top w:w="90" w:type="dxa"/>
              <w:start w:w="100" w:type="dxa"/>
              <w:bottom w:w="90" w:type="dxa"/>
              <w:end w:w="100" w:type="dxa"/>
            </w:tcMar>
          </w:tcPr>
          <w:p>
            <w:pPr>
              <w:spacing w:after="0"/>
              <w:jc w:val="left"/>
            </w:pPr>
            <w:r>
              <w:rPr>
                <w:rFonts w:ascii="Arial" w:hAnsi="Arial"/>
                <w:sz w:val="17"/>
              </w:rPr>
              <w:t>Primary / Manage</w:t>
            </w:r>
          </w:p>
        </w:tc>
      </w:tr>
      <w:tr>
        <w:trPr>
          <w:cantSplit w:val="true"/>
        </w:trPr>
        <w:tc>
          <w:tcPr>
            <w:tcW w:type="dxa" w:w="1440"/>
            <w:vAlign w:val="center"/>
            <w:tcMar>
              <w:top w:w="90" w:type="dxa"/>
              <w:start w:w="100" w:type="dxa"/>
              <w:bottom w:w="90" w:type="dxa"/>
              <w:end w:w="100" w:type="dxa"/>
            </w:tcMar>
            <w:shd w:fill="EAF2F8"/>
          </w:tcPr>
          <w:p>
            <w:pPr>
              <w:spacing w:after="0"/>
              <w:jc w:val="center"/>
            </w:pPr>
            <w:r>
              <w:rPr>
                <w:rFonts w:ascii="Arial" w:hAnsi="Arial"/>
                <w:sz w:val="17"/>
              </w:rPr>
              <w:t>Resident</w:t>
            </w:r>
          </w:p>
        </w:tc>
        <w:tc>
          <w:tcPr>
            <w:tcW w:type="dxa" w:w="6912"/>
            <w:vAlign w:val="center"/>
            <w:tcMar>
              <w:top w:w="90" w:type="dxa"/>
              <w:start w:w="100" w:type="dxa"/>
              <w:bottom w:w="90" w:type="dxa"/>
              <w:end w:w="100" w:type="dxa"/>
            </w:tcMar>
            <w:shd w:fill="EAF2F8"/>
          </w:tcPr>
          <w:p>
            <w:pPr>
              <w:spacing w:after="0"/>
              <w:jc w:val="left"/>
            </w:pPr>
            <w:r>
              <w:rPr>
                <w:rFonts w:ascii="Arial" w:hAnsi="Arial"/>
                <w:sz w:val="17"/>
              </w:rPr>
              <w:t>View current and historical invoices for permitted apartment contexts.</w:t>
            </w:r>
          </w:p>
        </w:tc>
        <w:tc>
          <w:tcPr>
            <w:tcW w:type="dxa" w:w="1728"/>
            <w:vAlign w:val="center"/>
            <w:tcMar>
              <w:top w:w="90" w:type="dxa"/>
              <w:start w:w="100" w:type="dxa"/>
              <w:bottom w:w="90" w:type="dxa"/>
              <w:end w:w="100" w:type="dxa"/>
            </w:tcMar>
            <w:shd w:fill="EAF2F8"/>
          </w:tcPr>
          <w:p>
            <w:pPr>
              <w:spacing w:after="0"/>
              <w:jc w:val="left"/>
            </w:pPr>
            <w:r>
              <w:rPr>
                <w:rFonts w:ascii="Arial" w:hAnsi="Arial"/>
                <w:sz w:val="17"/>
              </w:rPr>
              <w:t>Own / Permitted read</w:t>
            </w:r>
          </w:p>
        </w:tc>
      </w:tr>
      <w:tr>
        <w:trPr>
          <w:cantSplit w:val="true"/>
        </w:trPr>
        <w:tc>
          <w:tcPr>
            <w:tcW w:type="dxa" w:w="1440"/>
            <w:vAlign w:val="center"/>
            <w:tcMar>
              <w:top w:w="90" w:type="dxa"/>
              <w:start w:w="100" w:type="dxa"/>
              <w:bottom w:w="90" w:type="dxa"/>
              <w:end w:w="100" w:type="dxa"/>
            </w:tcMar>
          </w:tcPr>
          <w:p>
            <w:pPr>
              <w:spacing w:after="0"/>
              <w:jc w:val="center"/>
            </w:pPr>
            <w:r>
              <w:rPr>
                <w:rFonts w:ascii="Arial" w:hAnsi="Arial"/>
                <w:sz w:val="17"/>
              </w:rPr>
              <w:t>Manager</w:t>
            </w:r>
          </w:p>
        </w:tc>
        <w:tc>
          <w:tcPr>
            <w:tcW w:type="dxa" w:w="6912"/>
            <w:vAlign w:val="center"/>
            <w:tcMar>
              <w:top w:w="90" w:type="dxa"/>
              <w:start w:w="100" w:type="dxa"/>
              <w:bottom w:w="90" w:type="dxa"/>
              <w:end w:w="100" w:type="dxa"/>
            </w:tcMar>
          </w:tcPr>
          <w:p>
            <w:pPr>
              <w:spacing w:after="0"/>
              <w:jc w:val="left"/>
            </w:pPr>
            <w:r>
              <w:rPr>
                <w:rFonts w:ascii="Arial" w:hAnsi="Arial"/>
                <w:sz w:val="17"/>
              </w:rPr>
              <w:t>View and monitor fee and invoice information for management oversight.</w:t>
            </w:r>
          </w:p>
        </w:tc>
        <w:tc>
          <w:tcPr>
            <w:tcW w:type="dxa" w:w="1728"/>
            <w:vAlign w:val="center"/>
            <w:tcMar>
              <w:top w:w="90" w:type="dxa"/>
              <w:start w:w="100" w:type="dxa"/>
              <w:bottom w:w="90" w:type="dxa"/>
              <w:end w:w="100" w:type="dxa"/>
            </w:tcMar>
          </w:tcPr>
          <w:p>
            <w:pPr>
              <w:spacing w:after="0"/>
              <w:jc w:val="left"/>
            </w:pPr>
            <w:r>
              <w:rPr>
                <w:rFonts w:ascii="Arial" w:hAnsi="Arial"/>
                <w:sz w:val="17"/>
              </w:rPr>
              <w:t>Read / Monitor</w:t>
            </w:r>
          </w:p>
        </w:tc>
      </w:tr>
      <w:tr>
        <w:trPr>
          <w:cantSplit w:val="true"/>
        </w:trPr>
        <w:tc>
          <w:tcPr>
            <w:tcW w:type="dxa" w:w="1440"/>
            <w:vAlign w:val="center"/>
            <w:tcMar>
              <w:top w:w="90" w:type="dxa"/>
              <w:start w:w="100" w:type="dxa"/>
              <w:bottom w:w="90" w:type="dxa"/>
              <w:end w:w="100" w:type="dxa"/>
            </w:tcMar>
            <w:shd w:fill="EAF2F8"/>
          </w:tcPr>
          <w:p>
            <w:pPr>
              <w:spacing w:after="0"/>
              <w:jc w:val="center"/>
            </w:pPr>
            <w:r>
              <w:rPr>
                <w:rFonts w:ascii="Arial" w:hAnsi="Arial"/>
                <w:sz w:val="17"/>
              </w:rPr>
              <w:t>Staff</w:t>
            </w:r>
          </w:p>
        </w:tc>
        <w:tc>
          <w:tcPr>
            <w:tcW w:type="dxa" w:w="6912"/>
            <w:vAlign w:val="center"/>
            <w:tcMar>
              <w:top w:w="90" w:type="dxa"/>
              <w:start w:w="100" w:type="dxa"/>
              <w:bottom w:w="90" w:type="dxa"/>
              <w:end w:w="100" w:type="dxa"/>
            </w:tcMar>
            <w:shd w:fill="EAF2F8"/>
          </w:tcPr>
          <w:p>
            <w:pPr>
              <w:spacing w:after="0"/>
              <w:jc w:val="left"/>
            </w:pPr>
            <w:r>
              <w:rPr>
                <w:rFonts w:ascii="Arial" w:hAnsi="Arial"/>
                <w:sz w:val="17"/>
              </w:rPr>
              <w:t>No direct FE-08 business responsibility.</w:t>
            </w:r>
          </w:p>
        </w:tc>
        <w:tc>
          <w:tcPr>
            <w:tcW w:type="dxa" w:w="1728"/>
            <w:vAlign w:val="center"/>
            <w:tcMar>
              <w:top w:w="90" w:type="dxa"/>
              <w:start w:w="100" w:type="dxa"/>
              <w:bottom w:w="90" w:type="dxa"/>
              <w:end w:w="100" w:type="dxa"/>
            </w:tcMar>
            <w:shd w:fill="EAF2F8"/>
          </w:tcPr>
          <w:p>
            <w:pPr>
              <w:spacing w:after="0"/>
              <w:jc w:val="left"/>
            </w:pPr>
            <w:r>
              <w:rPr>
                <w:rFonts w:ascii="Arial" w:hAnsi="Arial"/>
                <w:sz w:val="17"/>
              </w:rPr>
              <w:t>None</w:t>
            </w:r>
          </w:p>
        </w:tc>
      </w:tr>
      <w:tr>
        <w:trPr>
          <w:cantSplit w:val="true"/>
        </w:trPr>
        <w:tc>
          <w:tcPr>
            <w:tcW w:type="dxa" w:w="1440"/>
            <w:vAlign w:val="center"/>
            <w:tcMar>
              <w:top w:w="90" w:type="dxa"/>
              <w:start w:w="100" w:type="dxa"/>
              <w:bottom w:w="90" w:type="dxa"/>
              <w:end w:w="100" w:type="dxa"/>
            </w:tcMar>
          </w:tcPr>
          <w:p>
            <w:pPr>
              <w:spacing w:after="0"/>
              <w:jc w:val="center"/>
            </w:pPr>
            <w:r>
              <w:rPr>
                <w:rFonts w:ascii="Arial" w:hAnsi="Arial"/>
                <w:sz w:val="17"/>
              </w:rPr>
              <w:t>Admin</w:t>
            </w:r>
          </w:p>
        </w:tc>
        <w:tc>
          <w:tcPr>
            <w:tcW w:type="dxa" w:w="6912"/>
            <w:vAlign w:val="center"/>
            <w:tcMar>
              <w:top w:w="90" w:type="dxa"/>
              <w:start w:w="100" w:type="dxa"/>
              <w:bottom w:w="90" w:type="dxa"/>
              <w:end w:w="100" w:type="dxa"/>
            </w:tcMar>
          </w:tcPr>
          <w:p>
            <w:pPr>
              <w:spacing w:after="0"/>
              <w:jc w:val="left"/>
            </w:pPr>
            <w:r>
              <w:rPr>
                <w:rFonts w:ascii="Arial" w:hAnsi="Arial"/>
                <w:sz w:val="17"/>
              </w:rPr>
              <w:t>Administer accounts and access control through FE-15; does not perform FE-08 finance operations.</w:t>
            </w:r>
          </w:p>
        </w:tc>
        <w:tc>
          <w:tcPr>
            <w:tcW w:type="dxa" w:w="1728"/>
            <w:vAlign w:val="center"/>
            <w:tcMar>
              <w:top w:w="90" w:type="dxa"/>
              <w:start w:w="100" w:type="dxa"/>
              <w:bottom w:w="90" w:type="dxa"/>
              <w:end w:w="100" w:type="dxa"/>
            </w:tcMar>
          </w:tcPr>
          <w:p>
            <w:pPr>
              <w:spacing w:after="0"/>
              <w:jc w:val="left"/>
            </w:pPr>
            <w:r>
              <w:rPr>
                <w:rFonts w:ascii="Arial" w:hAnsi="Arial"/>
                <w:sz w:val="17"/>
              </w:rPr>
              <w:t>None</w:t>
            </w:r>
          </w:p>
        </w:tc>
      </w:tr>
    </w:tbl>
    <w:p>
      <w:pPr>
        <w:spacing w:after="20"/>
      </w:pPr>
    </w:p>
    <w:p>
      <w:pPr>
        <w:pStyle w:val="Heading1"/>
        <w:pageBreakBefore w:val="0"/>
      </w:pPr>
      <w:r>
        <w:t>3. Core Domain Concepts</w:t>
      </w:r>
    </w:p>
    <w:p>
      <w:pPr>
        <w:pStyle w:val="Heading2"/>
        <w:pageBreakBefore w:val="0"/>
      </w:pPr>
      <w:r>
        <w:t>3.1 Fee</w:t>
      </w:r>
    </w:p>
    <w:p>
      <w:r>
        <w:t>A Fee is a supported charge type used to create invoice lines. Illustrative examples such as a management fee or common service fee do not fix the final fee catalog.</w:t>
      </w:r>
    </w:p>
    <w:p>
      <w:pPr>
        <w:pStyle w:val="Heading2"/>
        <w:pageBreakBefore w:val="0"/>
      </w:pPr>
      <w:r>
        <w:t>3.2 Fee Rate or Charging Rule</w:t>
      </w:r>
    </w:p>
    <w:p>
      <w:r>
        <w:t>A fee rate or charging rule defines how a supported Fee is applied. Exact formulas are not fixed at Report 1 level unless separately approved.</w:t>
      </w:r>
    </w:p>
    <w:p>
      <w:pPr>
        <w:pStyle w:val="Heading2"/>
        <w:pageBreakBefore w:val="0"/>
      </w:pPr>
      <w:r>
        <w:t>3.3 Invoice</w:t>
      </w:r>
    </w:p>
    <w:p>
      <w:r>
        <w:t>An Invoice is a billing record for a valid apartment billing context and billing period. It contains one or more invoice lines and a total amount due.</w:t>
      </w:r>
    </w:p>
    <w:p>
      <w:pPr>
        <w:pStyle w:val="Heading2"/>
        <w:pageBreakBefore w:val="0"/>
      </w:pPr>
      <w:r>
        <w:t>3.4 Ownership and Historical Access</w:t>
      </w:r>
    </w:p>
    <w:p>
      <w:r>
        <w:t>Billing is apartment-centered. An Invoice belongs to an Apartment billing context. Resident access is derived from a valid Resident–Apartment relationship, while historical billing records remain independent of later residency changes.</w:t>
      </w:r>
    </w:p>
    <w:p>
      <w:pPr>
        <w:spacing w:before="80" w:after="160"/>
        <w:jc w:val="center"/>
      </w:pPr>
      <w:r>
        <w:rPr>
          <w:rFonts w:ascii="Consolas" w:hAnsi="Consolas"/>
          <w:sz w:val="18"/>
        </w:rPr>
        <w:t>Resident → Resident–Apartment Relationship → Apartment → Invoice → Invoice Line</w:t>
      </w:r>
    </w:p>
    <w:p>
      <w:pPr>
        <w:pStyle w:val="Heading1"/>
        <w:pageBreakBefore w:val="0"/>
      </w:pPr>
      <w:r>
        <w:t>4. Final Sub-Features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080"/>
            <w:shd w:fill="1F4E78"/>
            <w:vAlign w:val="center"/>
            <w:tcMar>
              <w:top w:w="90" w:type="dxa"/>
              <w:start w:w="100" w:type="dxa"/>
              <w:bottom w:w="90" w:type="dxa"/>
              <w:end w:w="100" w:type="dxa"/>
            </w:tcMar>
          </w:tcPr>
          <w:p>
            <w:pPr>
              <w:jc w:val="center"/>
            </w:pPr>
            <w:r>
              <w:rPr>
                <w:rFonts w:ascii="Arial" w:hAnsi="Arial"/>
                <w:b/>
                <w:color w:val="FFFFFF"/>
                <w:sz w:val="15"/>
              </w:rPr>
              <w:t>ID</w:t>
            </w:r>
          </w:p>
        </w:tc>
        <w:tc>
          <w:tcPr>
            <w:tcW w:type="dxa" w:w="2880"/>
            <w:shd w:fill="1F4E78"/>
            <w:vAlign w:val="center"/>
            <w:tcMar>
              <w:top w:w="90" w:type="dxa"/>
              <w:start w:w="100" w:type="dxa"/>
              <w:bottom w:w="90" w:type="dxa"/>
              <w:end w:w="100" w:type="dxa"/>
            </w:tcMar>
          </w:tcPr>
          <w:p>
            <w:pPr>
              <w:jc w:val="center"/>
            </w:pPr>
            <w:r>
              <w:rPr>
                <w:rFonts w:ascii="Arial" w:hAnsi="Arial"/>
                <w:b/>
                <w:color w:val="FFFFFF"/>
                <w:sz w:val="15"/>
              </w:rPr>
              <w:t>Sub-Feature</w:t>
            </w:r>
          </w:p>
        </w:tc>
        <w:tc>
          <w:tcPr>
            <w:tcW w:type="dxa" w:w="1440"/>
            <w:shd w:fill="1F4E78"/>
            <w:vAlign w:val="center"/>
            <w:tcMar>
              <w:top w:w="90" w:type="dxa"/>
              <w:start w:w="100" w:type="dxa"/>
              <w:bottom w:w="90" w:type="dxa"/>
              <w:end w:w="100" w:type="dxa"/>
            </w:tcMar>
          </w:tcPr>
          <w:p>
            <w:pPr>
              <w:jc w:val="center"/>
            </w:pPr>
            <w:r>
              <w:rPr>
                <w:rFonts w:ascii="Arial" w:hAnsi="Arial"/>
                <w:b/>
                <w:color w:val="FFFFFF"/>
                <w:sz w:val="15"/>
              </w:rPr>
              <w:t>Primary Actor</w:t>
            </w:r>
          </w:p>
        </w:tc>
        <w:tc>
          <w:tcPr>
            <w:tcW w:type="dxa" w:w="4680"/>
            <w:shd w:fill="1F4E78"/>
            <w:vAlign w:val="center"/>
            <w:tcMar>
              <w:top w:w="90" w:type="dxa"/>
              <w:start w:w="100" w:type="dxa"/>
              <w:bottom w:w="90" w:type="dxa"/>
              <w:end w:w="100" w:type="dxa"/>
            </w:tcMar>
          </w:tcPr>
          <w:p>
            <w:pPr>
              <w:jc w:val="center"/>
            </w:pPr>
            <w:r>
              <w:rPr>
                <w:rFonts w:ascii="Arial" w:hAnsi="Arial"/>
                <w:b/>
                <w:color w:val="FFFFFF"/>
                <w:sz w:val="15"/>
              </w:rPr>
              <w:t>Description</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FE-08.1</w:t>
            </w:r>
          </w:p>
        </w:tc>
        <w:tc>
          <w:tcPr>
            <w:tcW w:type="dxa" w:w="2880"/>
            <w:vAlign w:val="center"/>
            <w:tcMar>
              <w:top w:w="90" w:type="dxa"/>
              <w:start w:w="100" w:type="dxa"/>
              <w:bottom w:w="90" w:type="dxa"/>
              <w:end w:w="100" w:type="dxa"/>
            </w:tcMar>
          </w:tcPr>
          <w:p>
            <w:pPr>
              <w:spacing w:after="0"/>
              <w:jc w:val="left"/>
            </w:pPr>
            <w:r>
              <w:rPr>
                <w:rFonts w:ascii="Arial" w:hAnsi="Arial"/>
                <w:sz w:val="15"/>
              </w:rPr>
              <w:t>Manage Fee Types</w:t>
            </w:r>
          </w:p>
        </w:tc>
        <w:tc>
          <w:tcPr>
            <w:tcW w:type="dxa" w:w="1440"/>
            <w:vAlign w:val="center"/>
            <w:tcMar>
              <w:top w:w="90" w:type="dxa"/>
              <w:start w:w="100" w:type="dxa"/>
              <w:bottom w:w="90" w:type="dxa"/>
              <w:end w:w="100" w:type="dxa"/>
            </w:tcMar>
          </w:tcPr>
          <w:p>
            <w:pPr>
              <w:spacing w:after="0"/>
              <w:jc w:val="left"/>
            </w:pPr>
            <w:r>
              <w:rPr>
                <w:rFonts w:ascii="Arial" w:hAnsi="Arial"/>
                <w:sz w:val="15"/>
              </w:rPr>
              <w:t>Accountant</w:t>
            </w:r>
          </w:p>
        </w:tc>
        <w:tc>
          <w:tcPr>
            <w:tcW w:type="dxa" w:w="4680"/>
            <w:vAlign w:val="center"/>
            <w:tcMar>
              <w:top w:w="90" w:type="dxa"/>
              <w:start w:w="100" w:type="dxa"/>
              <w:bottom w:w="90" w:type="dxa"/>
              <w:end w:w="100" w:type="dxa"/>
            </w:tcMar>
          </w:tcPr>
          <w:p>
            <w:pPr>
              <w:spacing w:after="0"/>
              <w:jc w:val="left"/>
            </w:pPr>
            <w:r>
              <w:rPr>
                <w:rFonts w:ascii="Arial" w:hAnsi="Arial"/>
                <w:sz w:val="15"/>
              </w:rPr>
              <w:t>Create and maintain supported fee types; deactivate referenced types instead of hard-deleting them.</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FE-08.2</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Configure Fee Rates and Charging Rules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Accountant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Maintain approved rates or charging rules without fixing unapproved formulas.</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FE-08.3</w:t>
            </w:r>
          </w:p>
        </w:tc>
        <w:tc>
          <w:tcPr>
            <w:tcW w:type="dxa" w:w="2880"/>
            <w:vAlign w:val="center"/>
            <w:tcMar>
              <w:top w:w="90" w:type="dxa"/>
              <w:start w:w="100" w:type="dxa"/>
              <w:bottom w:w="90" w:type="dxa"/>
              <w:end w:w="100" w:type="dxa"/>
            </w:tcMar>
          </w:tcPr>
          <w:p>
            <w:pPr>
              <w:spacing w:after="0"/>
              <w:jc w:val="left"/>
            </w:pPr>
            <w:r>
              <w:rPr>
                <w:rFonts w:ascii="Arial" w:hAnsi="Arial"/>
                <w:sz w:val="15"/>
              </w:rPr>
              <w:t>Generate Apartment Invoices</w:t>
            </w:r>
          </w:p>
        </w:tc>
        <w:tc>
          <w:tcPr>
            <w:tcW w:type="dxa" w:w="1440"/>
            <w:vAlign w:val="center"/>
            <w:tcMar>
              <w:top w:w="90" w:type="dxa"/>
              <w:start w:w="100" w:type="dxa"/>
              <w:bottom w:w="90" w:type="dxa"/>
              <w:end w:w="100" w:type="dxa"/>
            </w:tcMar>
          </w:tcPr>
          <w:p>
            <w:pPr>
              <w:spacing w:after="0"/>
              <w:jc w:val="left"/>
            </w:pPr>
            <w:r>
              <w:rPr>
                <w:rFonts w:ascii="Arial" w:hAnsi="Arial"/>
                <w:sz w:val="15"/>
              </w:rPr>
              <w:t>Accountant</w:t>
            </w:r>
          </w:p>
        </w:tc>
        <w:tc>
          <w:tcPr>
            <w:tcW w:type="dxa" w:w="4680"/>
            <w:vAlign w:val="center"/>
            <w:tcMar>
              <w:top w:w="90" w:type="dxa"/>
              <w:start w:w="100" w:type="dxa"/>
              <w:bottom w:w="90" w:type="dxa"/>
              <w:end w:w="100" w:type="dxa"/>
            </w:tcMar>
          </w:tcPr>
          <w:p>
            <w:pPr>
              <w:spacing w:after="0"/>
              <w:jc w:val="left"/>
            </w:pPr>
            <w:r>
              <w:rPr>
                <w:rFonts w:ascii="Arial" w:hAnsi="Arial"/>
                <w:sz w:val="15"/>
              </w:rPr>
              <w:t>Generate draft invoices for valid apartment billing contexts and periods.</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FE-08.4</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Review and Update Draft Invoices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Accountant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Inspect and correct draft invoice information before issuance.</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FE-08.5</w:t>
            </w:r>
          </w:p>
        </w:tc>
        <w:tc>
          <w:tcPr>
            <w:tcW w:type="dxa" w:w="2880"/>
            <w:vAlign w:val="center"/>
            <w:tcMar>
              <w:top w:w="90" w:type="dxa"/>
              <w:start w:w="100" w:type="dxa"/>
              <w:bottom w:w="90" w:type="dxa"/>
              <w:end w:w="100" w:type="dxa"/>
            </w:tcMar>
          </w:tcPr>
          <w:p>
            <w:pPr>
              <w:spacing w:after="0"/>
              <w:jc w:val="left"/>
            </w:pPr>
            <w:r>
              <w:rPr>
                <w:rFonts w:ascii="Arial" w:hAnsi="Arial"/>
                <w:sz w:val="15"/>
              </w:rPr>
              <w:t>Issue Invoices</w:t>
            </w:r>
          </w:p>
        </w:tc>
        <w:tc>
          <w:tcPr>
            <w:tcW w:type="dxa" w:w="1440"/>
            <w:vAlign w:val="center"/>
            <w:tcMar>
              <w:top w:w="90" w:type="dxa"/>
              <w:start w:w="100" w:type="dxa"/>
              <w:bottom w:w="90" w:type="dxa"/>
              <w:end w:w="100" w:type="dxa"/>
            </w:tcMar>
          </w:tcPr>
          <w:p>
            <w:pPr>
              <w:spacing w:after="0"/>
              <w:jc w:val="left"/>
            </w:pPr>
            <w:r>
              <w:rPr>
                <w:rFonts w:ascii="Arial" w:hAnsi="Arial"/>
                <w:sz w:val="15"/>
              </w:rPr>
              <w:t>Accountant</w:t>
            </w:r>
          </w:p>
        </w:tc>
        <w:tc>
          <w:tcPr>
            <w:tcW w:type="dxa" w:w="4680"/>
            <w:vAlign w:val="center"/>
            <w:tcMar>
              <w:top w:w="90" w:type="dxa"/>
              <w:start w:w="100" w:type="dxa"/>
              <w:bottom w:w="90" w:type="dxa"/>
              <w:end w:w="100" w:type="dxa"/>
            </w:tcMar>
          </w:tcPr>
          <w:p>
            <w:pPr>
              <w:spacing w:after="0"/>
              <w:jc w:val="left"/>
            </w:pPr>
            <w:r>
              <w:rPr>
                <w:rFonts w:ascii="Arial" w:hAnsi="Arial"/>
                <w:sz w:val="15"/>
              </w:rPr>
              <w:t>Finalize and issue reviewed invoices for authorized access.</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FE-08.6</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View Invoice Details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Accountant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View detailed invoice and invoice-line information for financial operations.</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FE-08.7</w:t>
            </w:r>
          </w:p>
        </w:tc>
        <w:tc>
          <w:tcPr>
            <w:tcW w:type="dxa" w:w="2880"/>
            <w:vAlign w:val="center"/>
            <w:tcMar>
              <w:top w:w="90" w:type="dxa"/>
              <w:start w:w="100" w:type="dxa"/>
              <w:bottom w:w="90" w:type="dxa"/>
              <w:end w:w="100" w:type="dxa"/>
            </w:tcMar>
          </w:tcPr>
          <w:p>
            <w:pPr>
              <w:spacing w:after="0"/>
              <w:jc w:val="left"/>
            </w:pPr>
            <w:r>
              <w:rPr>
                <w:rFonts w:ascii="Arial" w:hAnsi="Arial"/>
                <w:sz w:val="15"/>
              </w:rPr>
              <w:t>Search and Filter Invoices</w:t>
            </w:r>
          </w:p>
        </w:tc>
        <w:tc>
          <w:tcPr>
            <w:tcW w:type="dxa" w:w="1440"/>
            <w:vAlign w:val="center"/>
            <w:tcMar>
              <w:top w:w="90" w:type="dxa"/>
              <w:start w:w="100" w:type="dxa"/>
              <w:bottom w:w="90" w:type="dxa"/>
              <w:end w:w="100" w:type="dxa"/>
            </w:tcMar>
          </w:tcPr>
          <w:p>
            <w:pPr>
              <w:spacing w:after="0"/>
              <w:jc w:val="left"/>
            </w:pPr>
            <w:r>
              <w:rPr>
                <w:rFonts w:ascii="Arial" w:hAnsi="Arial"/>
                <w:sz w:val="15"/>
              </w:rPr>
              <w:t>Accountant</w:t>
            </w:r>
          </w:p>
        </w:tc>
        <w:tc>
          <w:tcPr>
            <w:tcW w:type="dxa" w:w="4680"/>
            <w:vAlign w:val="center"/>
            <w:tcMar>
              <w:top w:w="90" w:type="dxa"/>
              <w:start w:w="100" w:type="dxa"/>
              <w:bottom w:w="90" w:type="dxa"/>
              <w:end w:w="100" w:type="dxa"/>
            </w:tcMar>
          </w:tcPr>
          <w:p>
            <w:pPr>
              <w:spacing w:after="0"/>
              <w:jc w:val="left"/>
            </w:pPr>
            <w:r>
              <w:rPr>
                <w:rFonts w:ascii="Arial" w:hAnsi="Arial"/>
                <w:sz w:val="15"/>
              </w:rPr>
              <w:t>Search and filter invoice records within the permitted financial scope.</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FE-08.8</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Manage Invoice Lifecycle Status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Accountant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Manage invoice lifecycle states separately from payment and settlement states.</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FE-08.9</w:t>
            </w:r>
          </w:p>
        </w:tc>
        <w:tc>
          <w:tcPr>
            <w:tcW w:type="dxa" w:w="2880"/>
            <w:vAlign w:val="center"/>
            <w:tcMar>
              <w:top w:w="90" w:type="dxa"/>
              <w:start w:w="100" w:type="dxa"/>
              <w:bottom w:w="90" w:type="dxa"/>
              <w:end w:w="100" w:type="dxa"/>
            </w:tcMar>
          </w:tcPr>
          <w:p>
            <w:pPr>
              <w:spacing w:after="0"/>
              <w:jc w:val="left"/>
            </w:pPr>
            <w:r>
              <w:rPr>
                <w:rFonts w:ascii="Arial" w:hAnsi="Arial"/>
                <w:sz w:val="15"/>
              </w:rPr>
              <w:t>View Fee and Invoice History</w:t>
            </w:r>
          </w:p>
        </w:tc>
        <w:tc>
          <w:tcPr>
            <w:tcW w:type="dxa" w:w="1440"/>
            <w:vAlign w:val="center"/>
            <w:tcMar>
              <w:top w:w="90" w:type="dxa"/>
              <w:start w:w="100" w:type="dxa"/>
              <w:bottom w:w="90" w:type="dxa"/>
              <w:end w:w="100" w:type="dxa"/>
            </w:tcMar>
          </w:tcPr>
          <w:p>
            <w:pPr>
              <w:spacing w:after="0"/>
              <w:jc w:val="left"/>
            </w:pPr>
            <w:r>
              <w:rPr>
                <w:rFonts w:ascii="Arial" w:hAnsi="Arial"/>
                <w:sz w:val="15"/>
              </w:rPr>
              <w:t>Accountant</w:t>
            </w:r>
          </w:p>
        </w:tc>
        <w:tc>
          <w:tcPr>
            <w:tcW w:type="dxa" w:w="4680"/>
            <w:vAlign w:val="center"/>
            <w:tcMar>
              <w:top w:w="90" w:type="dxa"/>
              <w:start w:w="100" w:type="dxa"/>
              <w:bottom w:w="90" w:type="dxa"/>
              <w:end w:w="100" w:type="dxa"/>
            </w:tcMar>
          </w:tcPr>
          <w:p>
            <w:pPr>
              <w:spacing w:after="0"/>
              <w:jc w:val="left"/>
            </w:pPr>
            <w:r>
              <w:rPr>
                <w:rFonts w:ascii="Arial" w:hAnsi="Arial"/>
                <w:sz w:val="15"/>
              </w:rPr>
              <w:t>View preserved fee and invoice history within the permitted financial scope.</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FE-08.10</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View Own Apartment Invoices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Resident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View current and historical invoices for permitted apartment contexts.</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FE-08.11</w:t>
            </w:r>
          </w:p>
        </w:tc>
        <w:tc>
          <w:tcPr>
            <w:tcW w:type="dxa" w:w="2880"/>
            <w:vAlign w:val="center"/>
            <w:tcMar>
              <w:top w:w="90" w:type="dxa"/>
              <w:start w:w="100" w:type="dxa"/>
              <w:bottom w:w="90" w:type="dxa"/>
              <w:end w:w="100" w:type="dxa"/>
            </w:tcMar>
          </w:tcPr>
          <w:p>
            <w:pPr>
              <w:spacing w:after="0"/>
              <w:jc w:val="left"/>
            </w:pPr>
            <w:r>
              <w:rPr>
                <w:rFonts w:ascii="Arial" w:hAnsi="Arial"/>
                <w:sz w:val="15"/>
              </w:rPr>
              <w:t>View and Monitor Fee and Invoice Information</w:t>
            </w:r>
          </w:p>
        </w:tc>
        <w:tc>
          <w:tcPr>
            <w:tcW w:type="dxa" w:w="1440"/>
            <w:vAlign w:val="center"/>
            <w:tcMar>
              <w:top w:w="90" w:type="dxa"/>
              <w:start w:w="100" w:type="dxa"/>
              <w:bottom w:w="90" w:type="dxa"/>
              <w:end w:w="100" w:type="dxa"/>
            </w:tcMar>
          </w:tcPr>
          <w:p>
            <w:pPr>
              <w:spacing w:after="0"/>
              <w:jc w:val="left"/>
            </w:pPr>
            <w:r>
              <w:rPr>
                <w:rFonts w:ascii="Arial" w:hAnsi="Arial"/>
                <w:sz w:val="15"/>
              </w:rPr>
              <w:t>Manager</w:t>
            </w:r>
          </w:p>
        </w:tc>
        <w:tc>
          <w:tcPr>
            <w:tcW w:type="dxa" w:w="4680"/>
            <w:vAlign w:val="center"/>
            <w:tcMar>
              <w:top w:w="90" w:type="dxa"/>
              <w:start w:w="100" w:type="dxa"/>
              <w:bottom w:w="90" w:type="dxa"/>
              <w:end w:w="100" w:type="dxa"/>
            </w:tcMar>
          </w:tcPr>
          <w:p>
            <w:pPr>
              <w:spacing w:after="0"/>
              <w:jc w:val="left"/>
            </w:pPr>
            <w:r>
              <w:rPr>
                <w:rFonts w:ascii="Arial" w:hAnsi="Arial"/>
                <w:sz w:val="15"/>
              </w:rPr>
              <w:t>Monitor fee and invoice information without routine modification.</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FE-08.12</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Search and Filter Invoice Records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Manager</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Search and filter invoice records within the permitted management scope.</w:t>
            </w:r>
          </w:p>
        </w:tc>
      </w:tr>
    </w:tbl>
    <w:p>
      <w:pPr>
        <w:spacing w:after="20"/>
      </w:pPr>
    </w:p>
    <w:p>
      <w:pPr>
        <w:pStyle w:val="Heading1"/>
        <w:pageBreakBefore w:val="0"/>
      </w:pPr>
      <w:r>
        <w:t>5. Detailed Sub-Feature Review</w:t>
      </w:r>
    </w:p>
    <w:p>
      <w:pPr>
        <w:pStyle w:val="Heading2"/>
        <w:pageBreakBefore w:val="0"/>
      </w:pPr>
      <w:r>
        <w:t>FE-08.1 – Manage Fee Types</w:t>
      </w:r>
    </w:p>
    <w:p>
      <w:r>
        <w:t>Create and maintain supported fee types; deactivate referenced types instead of hard-deleting them.</w:t>
      </w:r>
    </w:p>
    <w:p>
      <w:pPr>
        <w:pStyle w:val="Heading2"/>
        <w:pageBreakBefore w:val="0"/>
      </w:pPr>
      <w:r>
        <w:t>FE-08.2 – Configure Fee Rates and Charging Rules</w:t>
      </w:r>
    </w:p>
    <w:p>
      <w:r>
        <w:t>Maintain approved rates or charging rules without fixing unapproved formulas.</w:t>
      </w:r>
    </w:p>
    <w:p>
      <w:pPr>
        <w:pStyle w:val="Heading2"/>
        <w:pageBreakBefore w:val="0"/>
      </w:pPr>
      <w:r>
        <w:t>FE-08.3 – Generate Apartment Invoices</w:t>
      </w:r>
    </w:p>
    <w:p>
      <w:r>
        <w:t>Generate draft invoices for valid apartment billing contexts and periods.</w:t>
      </w:r>
    </w:p>
    <w:p>
      <w:pPr>
        <w:pStyle w:val="Heading2"/>
        <w:pageBreakBefore w:val="0"/>
      </w:pPr>
      <w:r>
        <w:t>FE-08.4 – Review and Update Draft Invoices</w:t>
      </w:r>
    </w:p>
    <w:p>
      <w:r>
        <w:t>Inspect and correct draft invoice information before issuance.</w:t>
      </w:r>
    </w:p>
    <w:p>
      <w:pPr>
        <w:pStyle w:val="Heading2"/>
        <w:pageBreakBefore w:val="0"/>
      </w:pPr>
      <w:r>
        <w:t>FE-08.5 – Issue Invoices</w:t>
      </w:r>
    </w:p>
    <w:p>
      <w:r>
        <w:t>Finalize and issue reviewed invoices for authorized access.</w:t>
      </w:r>
    </w:p>
    <w:p>
      <w:pPr>
        <w:pStyle w:val="Heading2"/>
        <w:pageBreakBefore w:val="0"/>
      </w:pPr>
      <w:r>
        <w:t>FE-08.6 – View Invoice Details</w:t>
      </w:r>
    </w:p>
    <w:p>
      <w:r>
        <w:t>View detailed invoice and invoice-line information for financial operations.</w:t>
      </w:r>
    </w:p>
    <w:p>
      <w:pPr>
        <w:pStyle w:val="Heading2"/>
        <w:pageBreakBefore w:val="0"/>
      </w:pPr>
      <w:r>
        <w:t>FE-08.7 – Search and Filter Invoices</w:t>
      </w:r>
    </w:p>
    <w:p>
      <w:r>
        <w:t>Search and filter invoice records within the permitted financial scope.</w:t>
      </w:r>
    </w:p>
    <w:p>
      <w:pPr>
        <w:pStyle w:val="Heading2"/>
        <w:pageBreakBefore w:val="0"/>
      </w:pPr>
      <w:r>
        <w:t>FE-08.8 – Manage Invoice Lifecycle Status</w:t>
      </w:r>
    </w:p>
    <w:p>
      <w:r>
        <w:t>Manage invoice lifecycle states separately from payment and settlement states.</w:t>
      </w:r>
    </w:p>
    <w:p>
      <w:pPr>
        <w:pStyle w:val="Heading2"/>
        <w:pageBreakBefore w:val="0"/>
      </w:pPr>
      <w:r>
        <w:t>FE-08.9 – View Fee and Invoice History</w:t>
      </w:r>
    </w:p>
    <w:p>
      <w:r>
        <w:t>View preserved fee and invoice history within the permitted financial scope.</w:t>
      </w:r>
    </w:p>
    <w:p>
      <w:pPr>
        <w:pStyle w:val="Heading2"/>
        <w:pageBreakBefore w:val="0"/>
      </w:pPr>
      <w:r>
        <w:t>FE-08.10 – View Own Apartment Invoices</w:t>
      </w:r>
    </w:p>
    <w:p>
      <w:r>
        <w:t>View current and historical invoices for permitted apartment contexts.</w:t>
      </w:r>
    </w:p>
    <w:p>
      <w:pPr>
        <w:pStyle w:val="Heading2"/>
        <w:pageBreakBefore w:val="0"/>
      </w:pPr>
      <w:r>
        <w:t>FE-08.11 – View and Monitor Fee and Invoice Information</w:t>
      </w:r>
    </w:p>
    <w:p>
      <w:r>
        <w:t>Monitor fee and invoice information without routine modification.</w:t>
      </w:r>
    </w:p>
    <w:p>
      <w:pPr>
        <w:pStyle w:val="Heading2"/>
        <w:pageBreakBefore w:val="0"/>
      </w:pPr>
      <w:r>
        <w:t>FE-08.12 – Search and Filter Invoice Records</w:t>
      </w:r>
    </w:p>
    <w:p>
      <w:r>
        <w:t>Search and filter invoice records within the permitted management scope.</w:t>
      </w:r>
    </w:p>
    <w:p>
      <w:r>
        <w:t>For FE-08.5, issuance may create a billing event for FE-13 notification delivery. FE-08 does not deliver the notification itself.</w:t>
      </w:r>
    </w:p>
    <w:p>
      <w:r>
        <w:t>For FE-08.6 and FE-08.11, an invoice view may display an FE-09 settlement summary, but FE-09 remains the source of payment and outstanding-balance state.</w:t>
      </w:r>
    </w:p>
    <w:p>
      <w:pPr>
        <w:pStyle w:val="Heading1"/>
        <w:pageBreakBefore w:val="0"/>
      </w:pPr>
      <w:r>
        <w:t>6. Domain Relationship Baseline</w:t>
      </w:r>
    </w:p>
    <w:p>
      <w:pPr>
        <w:spacing w:before="80" w:after="160"/>
        <w:jc w:val="center"/>
      </w:pPr>
      <w:r>
        <w:rPr>
          <w:rFonts w:ascii="Consolas" w:hAnsi="Consolas"/>
          <w:sz w:val="18"/>
        </w:rPr>
        <w:t>Apartment → Invoice → Invoice Line</w:t>
        <w:br/>
        <w:t>Fee Type → Fee Rate or Charging Rule → Invoice Line</w:t>
        <w:br/>
        <w:t>Issued Invoice → FE-09 Payment and Settlement</w:t>
      </w:r>
    </w:p>
    <w:p>
      <w:r>
        <w:t>FE-08 references Apartment master data from FE-03 and Resident–Apartment relationships from FE-02. It does not duplicate or modify those records. Physical database fields and foreign-key names are deferred to approved data design.</w:t>
      </w:r>
    </w:p>
    <w:p>
      <w:pPr>
        <w:pStyle w:val="Heading1"/>
        <w:pageBreakBefore w:val="0"/>
      </w:pPr>
      <w:r>
        <w:t>7. Authentication, Authorization, and Business-Scope Checks</w:t>
      </w:r>
    </w:p>
    <w:p>
      <w:r>
        <w:t>FE-01 Authentication → Authenticated Identity → FE-15 Fixed Role and Permissions → FE-08 Business-Scope Check → Allow or Deny</w:t>
      </w:r>
    </w:p>
    <w:p>
      <w:r>
        <w:t>UI visibility does not replace server authorization. Accountant and Manager access must remain within their approved business scope. Resident access must validate the current or historically valid Resident–Apartment relationship required by the approved access policy.</w:t>
      </w:r>
    </w:p>
    <w:p>
      <w:pPr>
        <w:pStyle w:val="Heading1"/>
        <w:pageBreakBefore/>
      </w:pPr>
      <w:r>
        <w:t>8. Actor × Sub-Feature Matrix</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val="true"/>
        </w:trPr>
        <w:tc>
          <w:tcPr>
            <w:tcW w:type="dxa" w:w="4608"/>
            <w:shd w:fill="1F4E78"/>
            <w:vAlign w:val="center"/>
            <w:tcMar>
              <w:top w:w="90" w:type="dxa"/>
              <w:start w:w="100" w:type="dxa"/>
              <w:bottom w:w="90" w:type="dxa"/>
              <w:end w:w="100" w:type="dxa"/>
            </w:tcMar>
          </w:tcPr>
          <w:p>
            <w:pPr>
              <w:jc w:val="center"/>
            </w:pPr>
            <w:r>
              <w:rPr>
                <w:rFonts w:ascii="Arial" w:hAnsi="Arial"/>
                <w:b/>
                <w:color w:val="FFFFFF"/>
                <w:sz w:val="14"/>
              </w:rPr>
              <w:t>Sub-Feature</w:t>
            </w:r>
          </w:p>
        </w:tc>
        <w:tc>
          <w:tcPr>
            <w:tcW w:type="dxa" w:w="1080"/>
            <w:shd w:fill="1F4E78"/>
            <w:vAlign w:val="center"/>
            <w:tcMar>
              <w:top w:w="90" w:type="dxa"/>
              <w:start w:w="100" w:type="dxa"/>
              <w:bottom w:w="90" w:type="dxa"/>
              <w:end w:w="100" w:type="dxa"/>
            </w:tcMar>
          </w:tcPr>
          <w:p>
            <w:pPr>
              <w:jc w:val="center"/>
            </w:pPr>
            <w:r>
              <w:rPr>
                <w:rFonts w:ascii="Arial" w:hAnsi="Arial"/>
                <w:b/>
                <w:color w:val="FFFFFF"/>
                <w:sz w:val="14"/>
              </w:rPr>
              <w:t>Resident</w:t>
            </w:r>
          </w:p>
        </w:tc>
        <w:tc>
          <w:tcPr>
            <w:tcW w:type="dxa" w:w="864"/>
            <w:shd w:fill="1F4E78"/>
            <w:vAlign w:val="center"/>
            <w:tcMar>
              <w:top w:w="90" w:type="dxa"/>
              <w:start w:w="100" w:type="dxa"/>
              <w:bottom w:w="90" w:type="dxa"/>
              <w:end w:w="100" w:type="dxa"/>
            </w:tcMar>
          </w:tcPr>
          <w:p>
            <w:pPr>
              <w:jc w:val="center"/>
            </w:pPr>
            <w:r>
              <w:rPr>
                <w:rFonts w:ascii="Arial" w:hAnsi="Arial"/>
                <w:b/>
                <w:color w:val="FFFFFF"/>
                <w:sz w:val="14"/>
              </w:rPr>
              <w:t>Staff</w:t>
            </w:r>
          </w:p>
        </w:tc>
        <w:tc>
          <w:tcPr>
            <w:tcW w:type="dxa" w:w="1224"/>
            <w:shd w:fill="1F4E78"/>
            <w:vAlign w:val="center"/>
            <w:tcMar>
              <w:top w:w="90" w:type="dxa"/>
              <w:start w:w="100" w:type="dxa"/>
              <w:bottom w:w="90" w:type="dxa"/>
              <w:end w:w="100" w:type="dxa"/>
            </w:tcMar>
          </w:tcPr>
          <w:p>
            <w:pPr>
              <w:jc w:val="center"/>
            </w:pPr>
            <w:r>
              <w:rPr>
                <w:rFonts w:ascii="Arial" w:hAnsi="Arial"/>
                <w:b/>
                <w:color w:val="FFFFFF"/>
                <w:sz w:val="14"/>
              </w:rPr>
              <w:t>Accountant</w:t>
            </w:r>
          </w:p>
        </w:tc>
        <w:tc>
          <w:tcPr>
            <w:tcW w:type="dxa" w:w="1080"/>
            <w:shd w:fill="1F4E78"/>
            <w:vAlign w:val="center"/>
            <w:tcMar>
              <w:top w:w="90" w:type="dxa"/>
              <w:start w:w="100" w:type="dxa"/>
              <w:bottom w:w="90" w:type="dxa"/>
              <w:end w:w="100" w:type="dxa"/>
            </w:tcMar>
          </w:tcPr>
          <w:p>
            <w:pPr>
              <w:jc w:val="center"/>
            </w:pPr>
            <w:r>
              <w:rPr>
                <w:rFonts w:ascii="Arial" w:hAnsi="Arial"/>
                <w:b/>
                <w:color w:val="FFFFFF"/>
                <w:sz w:val="14"/>
              </w:rPr>
              <w:t>Manager</w:t>
            </w:r>
          </w:p>
        </w:tc>
        <w:tc>
          <w:tcPr>
            <w:tcW w:type="dxa" w:w="936"/>
            <w:shd w:fill="1F4E78"/>
            <w:vAlign w:val="center"/>
            <w:tcMar>
              <w:top w:w="90" w:type="dxa"/>
              <w:start w:w="100" w:type="dxa"/>
              <w:bottom w:w="90" w:type="dxa"/>
              <w:end w:w="100" w:type="dxa"/>
            </w:tcMar>
          </w:tcPr>
          <w:p>
            <w:pPr>
              <w:jc w:val="center"/>
            </w:pPr>
            <w:r>
              <w:rPr>
                <w:rFonts w:ascii="Arial" w:hAnsi="Arial"/>
                <w:b/>
                <w:color w:val="FFFFFF"/>
                <w:sz w:val="14"/>
              </w:rPr>
              <w:t>Admin</w:t>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FE-08.1 Manage Fee Types</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t>✓</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FE-08.2 Configure Fee Rates and Charging Rules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FE-08.3 Generate Apartment Invoices</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t>✓</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FE-08.4 Review and Update Draft Invoices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FE-08.5 Issue Invoices</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t>✓</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FE-08.6 View Invoice Details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FE-08.7 Search and Filter Invoices</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t>✓</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FE-08.8 Manage Invoice Lifecycle Status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FE-08.9 View Fee and Invoice History</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t>✓</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FE-08.10 View Own Apartment Invoices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FE-08.11 View and Monitor Fee and Invoice Information</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r>
          </w:p>
        </w:tc>
        <w:tc>
          <w:tcPr>
            <w:tcW w:type="dxa" w:w="1080"/>
            <w:vAlign w:val="center"/>
            <w:tcMar>
              <w:top w:w="90" w:type="dxa"/>
              <w:start w:w="100" w:type="dxa"/>
              <w:bottom w:w="90" w:type="dxa"/>
              <w:end w:w="100" w:type="dxa"/>
            </w:tcMar>
          </w:tcPr>
          <w:p>
            <w:pPr>
              <w:spacing w:after="0"/>
              <w:jc w:val="left"/>
            </w:pPr>
            <w:r>
              <w:rPr>
                <w:rFonts w:ascii="Arial" w:hAnsi="Arial"/>
                <w:sz w:val="14"/>
              </w:rPr>
              <w:t>✓</w:t>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FE-08.12 Search and Filter Invoice Records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bl>
    <w:p>
      <w:pPr>
        <w:spacing w:after="20"/>
      </w:pPr>
    </w:p>
    <w:p>
      <w:pPr>
        <w:pStyle w:val="Heading1"/>
        <w:pageBreakBefore w:val="0"/>
      </w:pPr>
      <w:r>
        <w:t>9. Main Workflows</w:t>
      </w:r>
    </w:p>
    <w:p>
      <w:pPr>
        <w:pStyle w:val="Heading2"/>
        <w:pageBreakBefore w:val="0"/>
      </w:pPr>
      <w:r>
        <w:t>9.1 Invoice Preparation and Issuance</w:t>
      </w:r>
    </w:p>
    <w:p>
      <w:pPr>
        <w:spacing w:before="80" w:after="160"/>
        <w:jc w:val="center"/>
      </w:pPr>
      <w:r>
        <w:rPr>
          <w:rFonts w:ascii="Consolas" w:hAnsi="Consolas"/>
          <w:sz w:val="18"/>
        </w:rPr>
        <w:t>Accountant Configures Supported Fees → Generates Draft Invoice → Reviews and Corrects Draft → Issues Invoice → Invoice Becomes Available to Authorized Users</w:t>
      </w:r>
    </w:p>
    <w:p>
      <w:pPr>
        <w:pStyle w:val="Heading2"/>
        <w:pageBreakBefore w:val="0"/>
      </w:pPr>
      <w:r>
        <w:t>9.2 Resident Invoice Access</w:t>
      </w:r>
    </w:p>
    <w:p>
      <w:pPr>
        <w:spacing w:before="80" w:after="160"/>
        <w:jc w:val="center"/>
      </w:pPr>
      <w:r>
        <w:rPr>
          <w:rFonts w:ascii="Consolas" w:hAnsi="Consolas"/>
          <w:sz w:val="18"/>
        </w:rPr>
        <w:t>Resident Authenticates through FE-01 → FE-15 Authorization → FE-08 Validates Permitted Apartment Context → Current and Historical Invoices Display</w:t>
      </w:r>
    </w:p>
    <w:p>
      <w:pPr>
        <w:pStyle w:val="Heading2"/>
        <w:pageBreakBefore w:val="0"/>
      </w:pPr>
      <w:r>
        <w:t>9.3 Invoice to Payment Handoff</w:t>
      </w:r>
    </w:p>
    <w:p>
      <w:pPr>
        <w:spacing w:before="80" w:after="160"/>
        <w:jc w:val="center"/>
      </w:pPr>
      <w:r>
        <w:rPr>
          <w:rFonts w:ascii="Consolas" w:hAnsi="Consolas"/>
          <w:sz w:val="18"/>
        </w:rPr>
        <w:t>FE-08 Issued Invoice → FE-09 Payment Submission or Recording → FE-09 Verification and Settlement → FE-08 May Display Read-Only Settlement Summary</w:t>
      </w:r>
    </w:p>
    <w:p>
      <w:pPr>
        <w:pStyle w:val="Heading1"/>
        <w:pageBreakBefore w:val="0"/>
      </w:pPr>
      <w:r>
        <w:t>10. Feature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384"/>
            <w:shd w:fill="1F4E78"/>
            <w:vAlign w:val="center"/>
            <w:tcMar>
              <w:top w:w="90" w:type="dxa"/>
              <w:start w:w="100" w:type="dxa"/>
              <w:bottom w:w="90" w:type="dxa"/>
              <w:end w:w="100" w:type="dxa"/>
            </w:tcMar>
          </w:tcPr>
          <w:p>
            <w:pPr>
              <w:jc w:val="center"/>
            </w:pPr>
            <w:r>
              <w:rPr>
                <w:rFonts w:ascii="Arial" w:hAnsi="Arial"/>
                <w:b/>
                <w:color w:val="FFFFFF"/>
                <w:sz w:val="16"/>
              </w:rPr>
              <w:t>Related Feature</w:t>
            </w:r>
          </w:p>
        </w:tc>
        <w:tc>
          <w:tcPr>
            <w:tcW w:type="dxa" w:w="6696"/>
            <w:shd w:fill="1F4E78"/>
            <w:vAlign w:val="center"/>
            <w:tcMar>
              <w:top w:w="90" w:type="dxa"/>
              <w:start w:w="100" w:type="dxa"/>
              <w:bottom w:w="90" w:type="dxa"/>
              <w:end w:w="100" w:type="dxa"/>
            </w:tcMar>
          </w:tcPr>
          <w:p>
            <w:pPr>
              <w:jc w:val="center"/>
            </w:pPr>
            <w:r>
              <w:rPr>
                <w:rFonts w:ascii="Arial" w:hAnsi="Arial"/>
                <w:b/>
                <w:color w:val="FFFFFF"/>
                <w:sz w:val="16"/>
              </w:rPr>
              <w:t>Boundary with FE-08</w:t>
            </w:r>
          </w:p>
        </w:tc>
      </w:tr>
      <w:tr>
        <w:trPr>
          <w:cantSplit w:val="true"/>
        </w:trPr>
        <w:tc>
          <w:tcPr>
            <w:tcW w:type="dxa" w:w="3384"/>
            <w:vAlign w:val="center"/>
            <w:tcMar>
              <w:top w:w="90" w:type="dxa"/>
              <w:start w:w="100" w:type="dxa"/>
              <w:bottom w:w="90" w:type="dxa"/>
              <w:end w:w="100" w:type="dxa"/>
            </w:tcMar>
          </w:tcPr>
          <w:p>
            <w:pPr>
              <w:spacing w:after="0"/>
              <w:jc w:val="left"/>
            </w:pPr>
            <w:r>
              <w:rPr>
                <w:rFonts w:ascii="Arial" w:hAnsi="Arial"/>
                <w:sz w:val="16"/>
              </w:rPr>
              <w:t>FE-01 Authentication and Account Management</w:t>
            </w:r>
          </w:p>
        </w:tc>
        <w:tc>
          <w:tcPr>
            <w:tcW w:type="dxa" w:w="6696"/>
            <w:vAlign w:val="center"/>
            <w:tcMar>
              <w:top w:w="90" w:type="dxa"/>
              <w:start w:w="100" w:type="dxa"/>
              <w:bottom w:w="90" w:type="dxa"/>
              <w:end w:w="100" w:type="dxa"/>
            </w:tcMar>
          </w:tcPr>
          <w:p>
            <w:pPr>
              <w:spacing w:after="0"/>
              <w:jc w:val="left"/>
            </w:pPr>
            <w:r>
              <w:rPr>
                <w:rFonts w:ascii="Arial" w:hAnsi="Arial"/>
                <w:sz w:val="16"/>
              </w:rPr>
              <w:t>Authenticates users; FE-08 does not manage credentials or sessions.</w:t>
            </w:r>
          </w:p>
        </w:tc>
      </w:tr>
      <w:tr>
        <w:trPr>
          <w:cantSplit w:val="true"/>
        </w:trPr>
        <w:tc>
          <w:tcPr>
            <w:tcW w:type="dxa" w:w="3384"/>
            <w:vAlign w:val="center"/>
            <w:tcMar>
              <w:top w:w="90" w:type="dxa"/>
              <w:start w:w="100" w:type="dxa"/>
              <w:bottom w:w="90" w:type="dxa"/>
              <w:end w:w="100" w:type="dxa"/>
            </w:tcMar>
            <w:shd w:fill="EAF2F8"/>
          </w:tcPr>
          <w:p>
            <w:pPr>
              <w:spacing w:after="0"/>
              <w:jc w:val="left"/>
            </w:pPr>
            <w:r>
              <w:rPr>
                <w:rFonts w:ascii="Arial" w:hAnsi="Arial"/>
                <w:sz w:val="16"/>
              </w:rPr>
              <w:t>FE-02 Resident Management</w:t>
            </w:r>
          </w:p>
        </w:tc>
        <w:tc>
          <w:tcPr>
            <w:tcW w:type="dxa" w:w="6696"/>
            <w:vAlign w:val="center"/>
            <w:tcMar>
              <w:top w:w="90" w:type="dxa"/>
              <w:start w:w="100" w:type="dxa"/>
              <w:bottom w:w="90" w:type="dxa"/>
              <w:end w:w="100" w:type="dxa"/>
            </w:tcMar>
            <w:shd w:fill="EAF2F8"/>
          </w:tcPr>
          <w:p>
            <w:pPr>
              <w:spacing w:after="0"/>
              <w:jc w:val="left"/>
            </w:pPr>
            <w:r>
              <w:rPr>
                <w:rFonts w:ascii="Arial" w:hAnsi="Arial"/>
                <w:sz w:val="16"/>
              </w:rPr>
              <w:t>Owns Resident data and Resident–Apartment relationships used to determine permitted Resident access.</w:t>
            </w:r>
          </w:p>
        </w:tc>
      </w:tr>
      <w:tr>
        <w:trPr>
          <w:cantSplit w:val="true"/>
        </w:trPr>
        <w:tc>
          <w:tcPr>
            <w:tcW w:type="dxa" w:w="3384"/>
            <w:vAlign w:val="center"/>
            <w:tcMar>
              <w:top w:w="90" w:type="dxa"/>
              <w:start w:w="100" w:type="dxa"/>
              <w:bottom w:w="90" w:type="dxa"/>
              <w:end w:w="100" w:type="dxa"/>
            </w:tcMar>
          </w:tcPr>
          <w:p>
            <w:pPr>
              <w:spacing w:after="0"/>
              <w:jc w:val="left"/>
            </w:pPr>
            <w:r>
              <w:rPr>
                <w:rFonts w:ascii="Arial" w:hAnsi="Arial"/>
                <w:sz w:val="16"/>
              </w:rPr>
              <w:t>FE-03 Apartment Unit Management</w:t>
            </w:r>
          </w:p>
        </w:tc>
        <w:tc>
          <w:tcPr>
            <w:tcW w:type="dxa" w:w="6696"/>
            <w:vAlign w:val="center"/>
            <w:tcMar>
              <w:top w:w="90" w:type="dxa"/>
              <w:start w:w="100" w:type="dxa"/>
              <w:bottom w:w="90" w:type="dxa"/>
              <w:end w:w="100" w:type="dxa"/>
            </w:tcMar>
          </w:tcPr>
          <w:p>
            <w:pPr>
              <w:spacing w:after="0"/>
              <w:jc w:val="left"/>
            </w:pPr>
            <w:r>
              <w:rPr>
                <w:rFonts w:ascii="Arial" w:hAnsi="Arial"/>
                <w:sz w:val="16"/>
              </w:rPr>
              <w:t>Owns Apartment master data; FE-08 associates invoices with a valid apartment billing context.</w:t>
            </w:r>
          </w:p>
        </w:tc>
      </w:tr>
      <w:tr>
        <w:trPr>
          <w:cantSplit w:val="true"/>
        </w:trPr>
        <w:tc>
          <w:tcPr>
            <w:tcW w:type="dxa" w:w="3384"/>
            <w:vAlign w:val="center"/>
            <w:tcMar>
              <w:top w:w="90" w:type="dxa"/>
              <w:start w:w="100" w:type="dxa"/>
              <w:bottom w:w="90" w:type="dxa"/>
              <w:end w:w="100" w:type="dxa"/>
            </w:tcMar>
            <w:shd w:fill="EAF2F8"/>
          </w:tcPr>
          <w:p>
            <w:pPr>
              <w:spacing w:after="0"/>
              <w:jc w:val="left"/>
            </w:pPr>
            <w:r>
              <w:rPr>
                <w:rFonts w:ascii="Arial" w:hAnsi="Arial"/>
                <w:sz w:val="16"/>
              </w:rPr>
              <w:t>FE-09 Payment and Debt Management</w:t>
            </w:r>
          </w:p>
        </w:tc>
        <w:tc>
          <w:tcPr>
            <w:tcW w:type="dxa" w:w="6696"/>
            <w:vAlign w:val="center"/>
            <w:tcMar>
              <w:top w:w="90" w:type="dxa"/>
              <w:start w:w="100" w:type="dxa"/>
              <w:bottom w:w="90" w:type="dxa"/>
              <w:end w:w="100" w:type="dxa"/>
            </w:tcMar>
            <w:shd w:fill="EAF2F8"/>
          </w:tcPr>
          <w:p>
            <w:pPr>
              <w:spacing w:after="0"/>
              <w:jc w:val="left"/>
            </w:pPr>
            <w:r>
              <w:rPr>
                <w:rFonts w:ascii="Arial" w:hAnsi="Arial"/>
                <w:sz w:val="16"/>
              </w:rPr>
              <w:t>Owns payments, settlement, outstanding balances, and overdue debt. FE-08 owns fees, invoice lines, totals, due dates, and invoice lifecycle.</w:t>
            </w:r>
          </w:p>
        </w:tc>
      </w:tr>
      <w:tr>
        <w:trPr>
          <w:cantSplit w:val="true"/>
        </w:trPr>
        <w:tc>
          <w:tcPr>
            <w:tcW w:type="dxa" w:w="3384"/>
            <w:vAlign w:val="center"/>
            <w:tcMar>
              <w:top w:w="90" w:type="dxa"/>
              <w:start w:w="100" w:type="dxa"/>
              <w:bottom w:w="90" w:type="dxa"/>
              <w:end w:w="100" w:type="dxa"/>
            </w:tcMar>
          </w:tcPr>
          <w:p>
            <w:pPr>
              <w:spacing w:after="0"/>
              <w:jc w:val="left"/>
            </w:pPr>
            <w:r>
              <w:rPr>
                <w:rFonts w:ascii="Arial" w:hAnsi="Arial"/>
                <w:sz w:val="16"/>
              </w:rPr>
              <w:t>FE-13 Notification and Announcement Management</w:t>
            </w:r>
          </w:p>
        </w:tc>
        <w:tc>
          <w:tcPr>
            <w:tcW w:type="dxa" w:w="6696"/>
            <w:vAlign w:val="center"/>
            <w:tcMar>
              <w:top w:w="90" w:type="dxa"/>
              <w:start w:w="100" w:type="dxa"/>
              <w:bottom w:w="90" w:type="dxa"/>
              <w:end w:w="100" w:type="dxa"/>
            </w:tcMar>
          </w:tcPr>
          <w:p>
            <w:pPr>
              <w:spacing w:after="0"/>
              <w:jc w:val="left"/>
            </w:pPr>
            <w:r>
              <w:rPr>
                <w:rFonts w:ascii="Arial" w:hAnsi="Arial"/>
                <w:sz w:val="16"/>
              </w:rPr>
              <w:t>Delivers invoice notifications created from FE-08 billing events.</w:t>
            </w:r>
          </w:p>
        </w:tc>
      </w:tr>
      <w:tr>
        <w:trPr>
          <w:cantSplit w:val="true"/>
        </w:trPr>
        <w:tc>
          <w:tcPr>
            <w:tcW w:type="dxa" w:w="3384"/>
            <w:vAlign w:val="center"/>
            <w:tcMar>
              <w:top w:w="90" w:type="dxa"/>
              <w:start w:w="100" w:type="dxa"/>
              <w:bottom w:w="90" w:type="dxa"/>
              <w:end w:w="100" w:type="dxa"/>
            </w:tcMar>
            <w:shd w:fill="EAF2F8"/>
          </w:tcPr>
          <w:p>
            <w:pPr>
              <w:spacing w:after="0"/>
              <w:jc w:val="left"/>
            </w:pPr>
            <w:r>
              <w:rPr>
                <w:rFonts w:ascii="Arial" w:hAnsi="Arial"/>
                <w:sz w:val="16"/>
              </w:rPr>
              <w:t>FE-14 Dashboards Reports and Operational Analytics</w:t>
            </w:r>
          </w:p>
        </w:tc>
        <w:tc>
          <w:tcPr>
            <w:tcW w:type="dxa" w:w="6696"/>
            <w:vAlign w:val="center"/>
            <w:tcMar>
              <w:top w:w="90" w:type="dxa"/>
              <w:start w:w="100" w:type="dxa"/>
              <w:bottom w:w="90" w:type="dxa"/>
              <w:end w:w="100" w:type="dxa"/>
            </w:tcMar>
            <w:shd w:fill="EAF2F8"/>
          </w:tcPr>
          <w:p>
            <w:pPr>
              <w:spacing w:after="0"/>
              <w:jc w:val="left"/>
            </w:pPr>
            <w:r>
              <w:rPr>
                <w:rFonts w:ascii="Arial" w:hAnsi="Arial"/>
                <w:sz w:val="16"/>
              </w:rPr>
              <w:t>Aggregates financial information; FE-08 remains the source of billing records.</w:t>
            </w:r>
          </w:p>
        </w:tc>
      </w:tr>
      <w:tr>
        <w:trPr>
          <w:cantSplit w:val="true"/>
        </w:trPr>
        <w:tc>
          <w:tcPr>
            <w:tcW w:type="dxa" w:w="3384"/>
            <w:vAlign w:val="center"/>
            <w:tcMar>
              <w:top w:w="90" w:type="dxa"/>
              <w:start w:w="100" w:type="dxa"/>
              <w:bottom w:w="90" w:type="dxa"/>
              <w:end w:w="100" w:type="dxa"/>
            </w:tcMar>
          </w:tcPr>
          <w:p>
            <w:pPr>
              <w:spacing w:after="0"/>
              <w:jc w:val="left"/>
            </w:pPr>
            <w:r>
              <w:rPr>
                <w:rFonts w:ascii="Arial" w:hAnsi="Arial"/>
                <w:sz w:val="16"/>
              </w:rPr>
              <w:t>FE-15 System Administration and RBAC</w:t>
            </w:r>
          </w:p>
        </w:tc>
        <w:tc>
          <w:tcPr>
            <w:tcW w:type="dxa" w:w="6696"/>
            <w:vAlign w:val="center"/>
            <w:tcMar>
              <w:top w:w="90" w:type="dxa"/>
              <w:start w:w="100" w:type="dxa"/>
              <w:bottom w:w="90" w:type="dxa"/>
              <w:end w:w="100" w:type="dxa"/>
            </w:tcMar>
          </w:tcPr>
          <w:p>
            <w:pPr>
              <w:spacing w:after="0"/>
              <w:jc w:val="left"/>
            </w:pPr>
            <w:r>
              <w:rPr>
                <w:rFonts w:ascii="Arial" w:hAnsi="Arial"/>
                <w:sz w:val="16"/>
              </w:rPr>
              <w:t>Owns internal-account administration and fixed access control; FE-08 applies financial business-scope checks.</w:t>
            </w:r>
          </w:p>
        </w:tc>
      </w:tr>
    </w:tbl>
    <w:p>
      <w:pPr>
        <w:spacing w:after="20"/>
      </w:pPr>
    </w:p>
    <w:p>
      <w:pPr>
        <w:pStyle w:val="Heading1"/>
        <w:pageBreakBefore w:val="0"/>
      </w:pPr>
      <w:r>
        <w:t>11. Business Rules</w:t>
      </w:r>
    </w:p>
    <w:p>
      <w:pPr>
        <w:pStyle w:val="ListBullet"/>
      </w:pPr>
      <w:r>
        <w:t>BR-08.1 Only authorized Accountant users can create or modify fee and invoice business records.</w:t>
      </w:r>
    </w:p>
    <w:p>
      <w:pPr>
        <w:pStyle w:val="ListBullet"/>
      </w:pPr>
      <w:r>
        <w:t>BR-08.2 Invoices are generated for valid apartment billing contexts and supported billing periods using approved fee configuration.</w:t>
      </w:r>
    </w:p>
    <w:p>
      <w:pPr>
        <w:pStyle w:val="ListBullet"/>
      </w:pPr>
      <w:r>
        <w:t>BR-08.3 Draft invoices may be reviewed and corrected before issuance.</w:t>
      </w:r>
    </w:p>
    <w:p>
      <w:pPr>
        <w:pStyle w:val="ListBullet"/>
      </w:pPr>
      <w:r>
        <w:t>BR-08.4 Issued invoices preserve financial history and are not casually modified or hard-deleted.</w:t>
      </w:r>
    </w:p>
    <w:p>
      <w:pPr>
        <w:pStyle w:val="ListBullet"/>
      </w:pPr>
      <w:r>
        <w:t>BR-08.5 Residents can access only invoices associated with apartment contexts permitted by the approved access policy.</w:t>
      </w:r>
    </w:p>
    <w:p>
      <w:pPr>
        <w:pStyle w:val="ListBullet"/>
      </w:pPr>
      <w:r>
        <w:t>BR-08.6 Manager has read and monitoring access and does not perform routine fee or invoice modification in the baseline.</w:t>
      </w:r>
    </w:p>
    <w:p>
      <w:pPr>
        <w:pStyle w:val="ListBullet"/>
      </w:pPr>
      <w:r>
        <w:t>BR-08.7 Invoice lifecycle status remains separate from payment transaction and invoice settlement status.</w:t>
      </w:r>
    </w:p>
    <w:p>
      <w:pPr>
        <w:pStyle w:val="ListBullet"/>
      </w:pPr>
      <w:r>
        <w:t>BR-08.8 Payment transactions, outstanding balances, and debt management belong to FE-09.</w:t>
      </w:r>
    </w:p>
    <w:p>
      <w:pPr>
        <w:pStyle w:val="ListBullet"/>
      </w:pPr>
      <w:r>
        <w:t>BR-08.9 Fee types and invoices referenced by financial history are preserved instead of hard-deleted.</w:t>
      </w:r>
    </w:p>
    <w:p>
      <w:pPr>
        <w:pStyle w:val="ListBullet"/>
      </w:pPr>
      <w:r>
        <w:t>BR-08.10 All financial visibility requires authentication, fixed authorization, and applicable business-scope checks.</w:t>
      </w:r>
    </w:p>
    <w:p>
      <w:pPr>
        <w:pStyle w:val="ListBullet"/>
      </w:pPr>
      <w:r>
        <w:t>BR-08.11 FE-08 does not expose a Building selector because each PropFlow deployment represents the current condominium.</w:t>
      </w:r>
    </w:p>
    <w:p>
      <w:pPr>
        <w:pStyle w:val="ListBullet"/>
      </w:pPr>
      <w:r>
        <w:t>BR-08.12 Search and filter behavior uses approved server-side criteria; no default sort order is fixed at Report 1 level.</w:t>
      </w:r>
    </w:p>
    <w:p>
      <w:pPr>
        <w:pStyle w:val="Heading1"/>
        <w:pageBreakBefore w:val="0"/>
      </w:pPr>
      <w:r>
        <w:t>12. Acceptance Criteria</w:t>
      </w:r>
    </w:p>
    <w:p>
      <w:pPr>
        <w:pStyle w:val="ListBullet"/>
      </w:pPr>
      <w:r>
        <w:t>AC-01 Accountant can create and maintain supported fee types.</w:t>
      </w:r>
    </w:p>
    <w:p>
      <w:pPr>
        <w:pStyle w:val="ListBullet"/>
      </w:pPr>
      <w:r>
        <w:t>AC-02 Accountant can configure approved fee rates or charging rules.</w:t>
      </w:r>
    </w:p>
    <w:p>
      <w:pPr>
        <w:pStyle w:val="ListBullet"/>
      </w:pPr>
      <w:r>
        <w:t>AC-03 Accountant can generate invoices for valid apartment billing contexts and periods.</w:t>
      </w:r>
    </w:p>
    <w:p>
      <w:pPr>
        <w:pStyle w:val="ListBullet"/>
      </w:pPr>
      <w:r>
        <w:t>AC-04 Accountant can review and update draft invoices before issuance.</w:t>
      </w:r>
    </w:p>
    <w:p>
      <w:pPr>
        <w:pStyle w:val="ListBullet"/>
      </w:pPr>
      <w:r>
        <w:t>AC-05 Accountant can issue finalized invoices for authorized access.</w:t>
      </w:r>
    </w:p>
    <w:p>
      <w:pPr>
        <w:pStyle w:val="ListBullet"/>
      </w:pPr>
      <w:r>
        <w:t>AC-06 Accountant can view, search, and filter invoice information within the permitted financial scope.</w:t>
      </w:r>
    </w:p>
    <w:p>
      <w:pPr>
        <w:pStyle w:val="ListBullet"/>
      </w:pPr>
      <w:r>
        <w:t>AC-07 Resident can view current and historical invoices for permitted apartment contexts and cannot access unrelated invoices.</w:t>
      </w:r>
    </w:p>
    <w:p>
      <w:pPr>
        <w:pStyle w:val="ListBullet"/>
      </w:pPr>
      <w:r>
        <w:t>AC-08 Manager can view, search, and monitor fee and invoice information without routine modification.</w:t>
      </w:r>
    </w:p>
    <w:p>
      <w:pPr>
        <w:pStyle w:val="ListBullet"/>
      </w:pPr>
      <w:r>
        <w:t>AC-09 Issued invoice history remains preserved after fee-configuration or residency changes.</w:t>
      </w:r>
    </w:p>
    <w:p>
      <w:pPr>
        <w:pStyle w:val="ListBullet"/>
      </w:pPr>
      <w:r>
        <w:t>AC-10 Invoice lifecycle and FE-09 payment and settlement lifecycles remain separate.</w:t>
      </w:r>
    </w:p>
    <w:p>
      <w:pPr>
        <w:pStyle w:val="ListBullet"/>
      </w:pPr>
      <w:r>
        <w:t>AC-11 FE-08 access requires successful authentication, fixed authorization, and applicable business-scope checks.</w:t>
      </w:r>
    </w:p>
    <w:p>
      <w:pPr>
        <w:pStyle w:val="ListBullet"/>
      </w:pPr>
      <w:r>
        <w:t>AC-12 FE-08 does not expose cross-condominium selection or filtering.</w:t>
      </w:r>
    </w:p>
    <w:p>
      <w:pPr>
        <w:pStyle w:val="Heading1"/>
        <w:pageBreakBefore w:val="0"/>
      </w:pPr>
      <w:r>
        <w:t>13. Detailed Specification Coverage</w:t>
      </w:r>
    </w:p>
    <w:p>
      <w:r>
        <w:t>This document defines the Report 1 business baseline. The reference FE-01, FE-04, and FE-15 reviews do not define screen-item catalogs, message catalogs, API payloads, or physical database columns. Those artifacts require approved UI, API, and data-design specifications and must preserve the rules in this document.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024"/>
            <w:shd w:fill="1F4E78"/>
            <w:vAlign w:val="center"/>
            <w:tcMar>
              <w:top w:w="90" w:type="dxa"/>
              <w:start w:w="100" w:type="dxa"/>
              <w:bottom w:w="90" w:type="dxa"/>
              <w:end w:w="100" w:type="dxa"/>
            </w:tcMar>
          </w:tcPr>
          <w:p>
            <w:pPr>
              <w:jc w:val="center"/>
            </w:pPr>
            <w:r>
              <w:rPr>
                <w:rFonts w:ascii="Arial" w:hAnsi="Arial"/>
                <w:b/>
                <w:color w:val="FFFFFF"/>
                <w:sz w:val="16"/>
              </w:rPr>
              <w:t>Artifact</w:t>
            </w:r>
          </w:p>
        </w:tc>
        <w:tc>
          <w:tcPr>
            <w:tcW w:type="dxa" w:w="1655"/>
            <w:shd w:fill="1F4E78"/>
            <w:vAlign w:val="center"/>
            <w:tcMar>
              <w:top w:w="90" w:type="dxa"/>
              <w:start w:w="100" w:type="dxa"/>
              <w:bottom w:w="90" w:type="dxa"/>
              <w:end w:w="100" w:type="dxa"/>
            </w:tcMar>
          </w:tcPr>
          <w:p>
            <w:pPr>
              <w:jc w:val="center"/>
            </w:pPr>
            <w:r>
              <w:rPr>
                <w:rFonts w:ascii="Arial" w:hAnsi="Arial"/>
                <w:b/>
                <w:color w:val="FFFFFF"/>
                <w:sz w:val="16"/>
              </w:rPr>
              <w:t>Report 1 Status</w:t>
            </w:r>
          </w:p>
        </w:tc>
        <w:tc>
          <w:tcPr>
            <w:tcW w:type="dxa" w:w="5400"/>
            <w:shd w:fill="1F4E78"/>
            <w:vAlign w:val="center"/>
            <w:tcMar>
              <w:top w:w="90" w:type="dxa"/>
              <w:start w:w="100" w:type="dxa"/>
              <w:bottom w:w="90" w:type="dxa"/>
              <w:end w:w="100" w:type="dxa"/>
            </w:tcMar>
          </w:tcPr>
          <w:p>
            <w:pPr>
              <w:jc w:val="center"/>
            </w:pPr>
            <w:r>
              <w:rPr>
                <w:rFonts w:ascii="Arial" w:hAnsi="Arial"/>
                <w:b/>
                <w:color w:val="FFFFFF"/>
                <w:sz w:val="16"/>
              </w:rPr>
              <w:t>Consistency Requirement</w:t>
            </w:r>
          </w:p>
        </w:tc>
      </w:tr>
      <w:tr>
        <w:trPr>
          <w:cantSplit w:val="true"/>
        </w:trPr>
        <w:tc>
          <w:tcPr>
            <w:tcW w:type="dxa" w:w="3024"/>
            <w:vAlign w:val="center"/>
            <w:tcMar>
              <w:top w:w="90" w:type="dxa"/>
              <w:start w:w="100" w:type="dxa"/>
              <w:bottom w:w="90" w:type="dxa"/>
              <w:end w:w="100" w:type="dxa"/>
            </w:tcMar>
          </w:tcPr>
          <w:p>
            <w:pPr>
              <w:spacing w:after="0"/>
              <w:jc w:val="center"/>
            </w:pPr>
            <w:r>
              <w:rPr>
                <w:rFonts w:ascii="Arial" w:hAnsi="Arial"/>
                <w:sz w:val="16"/>
              </w:rPr>
              <w:t>Screen titles, screen items, initial display, navigation, and transitions</w:t>
            </w:r>
          </w:p>
        </w:tc>
        <w:tc>
          <w:tcPr>
            <w:tcW w:type="dxa" w:w="1655"/>
            <w:vAlign w:val="center"/>
            <w:tcMar>
              <w:top w:w="90" w:type="dxa"/>
              <w:start w:w="100" w:type="dxa"/>
              <w:bottom w:w="90" w:type="dxa"/>
              <w:end w:w="100" w:type="dxa"/>
            </w:tcMar>
          </w:tcPr>
          <w:p>
            <w:pPr>
              <w:spacing w:after="0"/>
              <w:jc w:val="left"/>
            </w:pPr>
            <w:r>
              <w:rPr>
                <w:rFonts w:ascii="Arial" w:hAnsi="Arial"/>
                <w:sz w:val="16"/>
              </w:rPr>
              <w:t>Deferred</w:t>
            </w:r>
          </w:p>
        </w:tc>
        <w:tc>
          <w:tcPr>
            <w:tcW w:type="dxa" w:w="5400"/>
            <w:vAlign w:val="center"/>
            <w:tcMar>
              <w:top w:w="90" w:type="dxa"/>
              <w:start w:w="100" w:type="dxa"/>
              <w:bottom w:w="90" w:type="dxa"/>
              <w:end w:w="100" w:type="dxa"/>
            </w:tcMar>
          </w:tcPr>
          <w:p>
            <w:pPr>
              <w:spacing w:after="0"/>
              <w:jc w:val="left"/>
            </w:pPr>
            <w:r>
              <w:rPr>
                <w:rFonts w:ascii="Arial" w:hAnsi="Arial"/>
                <w:sz w:val="16"/>
              </w:rPr>
              <w:t>Use the approved PropFlow UI standard and the actor, scope, and workflow rules in this document.</w:t>
            </w:r>
          </w:p>
        </w:tc>
      </w:tr>
      <w:tr>
        <w:trPr>
          <w:cantSplit w:val="true"/>
        </w:trPr>
        <w:tc>
          <w:tcPr>
            <w:tcW w:type="dxa" w:w="3024"/>
            <w:vAlign w:val="center"/>
            <w:tcMar>
              <w:top w:w="90" w:type="dxa"/>
              <w:start w:w="100" w:type="dxa"/>
              <w:bottom w:w="90" w:type="dxa"/>
              <w:end w:w="100" w:type="dxa"/>
            </w:tcMar>
            <w:shd w:fill="EAF2F8"/>
          </w:tcPr>
          <w:p>
            <w:pPr>
              <w:spacing w:after="0"/>
              <w:jc w:val="center"/>
            </w:pPr>
            <w:r>
              <w:rPr>
                <w:rFonts w:ascii="Arial" w:hAnsi="Arial"/>
                <w:sz w:val="16"/>
              </w:rPr>
              <w:t>Input/output fields, required/optional notation, and validation messages</w:t>
            </w:r>
          </w:p>
        </w:tc>
        <w:tc>
          <w:tcPr>
            <w:tcW w:type="dxa" w:w="1655"/>
            <w:vAlign w:val="center"/>
            <w:tcMar>
              <w:top w:w="90" w:type="dxa"/>
              <w:start w:w="100" w:type="dxa"/>
              <w:bottom w:w="90" w:type="dxa"/>
              <w:end w:w="100" w:type="dxa"/>
            </w:tcMar>
            <w:shd w:fill="EAF2F8"/>
          </w:tcPr>
          <w:p>
            <w:pPr>
              <w:spacing w:after="0"/>
              <w:jc w:val="left"/>
            </w:pPr>
            <w:r>
              <w:rPr>
                <w:rFonts w:ascii="Arial" w:hAnsi="Arial"/>
                <w:sz w:val="16"/>
              </w:rPr>
              <w:t>Deferred</w:t>
            </w:r>
          </w:p>
        </w:tc>
        <w:tc>
          <w:tcPr>
            <w:tcW w:type="dxa" w:w="5400"/>
            <w:vAlign w:val="center"/>
            <w:tcMar>
              <w:top w:w="90" w:type="dxa"/>
              <w:start w:w="100" w:type="dxa"/>
              <w:bottom w:w="90" w:type="dxa"/>
              <w:end w:w="100" w:type="dxa"/>
            </w:tcMar>
            <w:shd w:fill="EAF2F8"/>
          </w:tcPr>
          <w:p>
            <w:pPr>
              <w:spacing w:after="0"/>
              <w:jc w:val="left"/>
            </w:pPr>
            <w:r>
              <w:rPr>
                <w:rFonts w:ascii="Arial" w:hAnsi="Arial"/>
                <w:sz w:val="16"/>
              </w:rPr>
              <w:t>Do not add fields or validation rules that change the approved financial business baseline.</w:t>
            </w:r>
          </w:p>
        </w:tc>
      </w:tr>
      <w:tr>
        <w:trPr>
          <w:cantSplit w:val="true"/>
        </w:trPr>
        <w:tc>
          <w:tcPr>
            <w:tcW w:type="dxa" w:w="3024"/>
            <w:vAlign w:val="center"/>
            <w:tcMar>
              <w:top w:w="90" w:type="dxa"/>
              <w:start w:w="100" w:type="dxa"/>
              <w:bottom w:w="90" w:type="dxa"/>
              <w:end w:w="100" w:type="dxa"/>
            </w:tcMar>
          </w:tcPr>
          <w:p>
            <w:pPr>
              <w:spacing w:after="0"/>
              <w:jc w:val="center"/>
            </w:pPr>
            <w:r>
              <w:rPr>
                <w:rFonts w:ascii="Arial" w:hAnsi="Arial"/>
                <w:sz w:val="16"/>
              </w:rPr>
              <w:t>Message IDs and localized wording</w:t>
            </w:r>
          </w:p>
        </w:tc>
        <w:tc>
          <w:tcPr>
            <w:tcW w:type="dxa" w:w="1655"/>
            <w:vAlign w:val="center"/>
            <w:tcMar>
              <w:top w:w="90" w:type="dxa"/>
              <w:start w:w="100" w:type="dxa"/>
              <w:bottom w:w="90" w:type="dxa"/>
              <w:end w:w="100" w:type="dxa"/>
            </w:tcMar>
          </w:tcPr>
          <w:p>
            <w:pPr>
              <w:spacing w:after="0"/>
              <w:jc w:val="left"/>
            </w:pPr>
            <w:r>
              <w:rPr>
                <w:rFonts w:ascii="Arial" w:hAnsi="Arial"/>
                <w:sz w:val="16"/>
              </w:rPr>
              <w:t>Deferred</w:t>
            </w:r>
          </w:p>
        </w:tc>
        <w:tc>
          <w:tcPr>
            <w:tcW w:type="dxa" w:w="5400"/>
            <w:vAlign w:val="center"/>
            <w:tcMar>
              <w:top w:w="90" w:type="dxa"/>
              <w:start w:w="100" w:type="dxa"/>
              <w:bottom w:w="90" w:type="dxa"/>
              <w:end w:w="100" w:type="dxa"/>
            </w:tcMar>
          </w:tcPr>
          <w:p>
            <w:pPr>
              <w:spacing w:after="0"/>
              <w:jc w:val="left"/>
            </w:pPr>
            <w:r>
              <w:rPr>
                <w:rFonts w:ascii="Arial" w:hAnsi="Arial"/>
                <w:sz w:val="16"/>
              </w:rPr>
              <w:t>Use the approved message catalog when available. No Japanese wording standard exists in the reference documents.</w:t>
            </w:r>
          </w:p>
        </w:tc>
      </w:tr>
      <w:tr>
        <w:trPr>
          <w:cantSplit w:val="true"/>
        </w:trPr>
        <w:tc>
          <w:tcPr>
            <w:tcW w:type="dxa" w:w="3024"/>
            <w:vAlign w:val="center"/>
            <w:tcMar>
              <w:top w:w="90" w:type="dxa"/>
              <w:start w:w="100" w:type="dxa"/>
              <w:bottom w:w="90" w:type="dxa"/>
              <w:end w:w="100" w:type="dxa"/>
            </w:tcMar>
            <w:shd w:fill="EAF2F8"/>
          </w:tcPr>
          <w:p>
            <w:pPr>
              <w:spacing w:after="0"/>
              <w:jc w:val="center"/>
            </w:pPr>
            <w:r>
              <w:rPr>
                <w:rFonts w:ascii="Arial" w:hAnsi="Arial"/>
                <w:sz w:val="16"/>
              </w:rPr>
              <w:t>API endpoints, request parameters, response parameters, and errors</w:t>
            </w:r>
          </w:p>
        </w:tc>
        <w:tc>
          <w:tcPr>
            <w:tcW w:type="dxa" w:w="1655"/>
            <w:vAlign w:val="center"/>
            <w:tcMar>
              <w:top w:w="90" w:type="dxa"/>
              <w:start w:w="100" w:type="dxa"/>
              <w:bottom w:w="90" w:type="dxa"/>
              <w:end w:w="100" w:type="dxa"/>
            </w:tcMar>
            <w:shd w:fill="EAF2F8"/>
          </w:tcPr>
          <w:p>
            <w:pPr>
              <w:spacing w:after="0"/>
              <w:jc w:val="left"/>
            </w:pPr>
            <w:r>
              <w:rPr>
                <w:rFonts w:ascii="Arial" w:hAnsi="Arial"/>
                <w:sz w:val="16"/>
              </w:rPr>
              <w:t>Deferred</w:t>
            </w:r>
          </w:p>
        </w:tc>
        <w:tc>
          <w:tcPr>
            <w:tcW w:type="dxa" w:w="5400"/>
            <w:vAlign w:val="center"/>
            <w:tcMar>
              <w:top w:w="90" w:type="dxa"/>
              <w:start w:w="100" w:type="dxa"/>
              <w:bottom w:w="90" w:type="dxa"/>
              <w:end w:w="100" w:type="dxa"/>
            </w:tcMar>
            <w:shd w:fill="EAF2F8"/>
          </w:tcPr>
          <w:p>
            <w:pPr>
              <w:spacing w:after="0"/>
              <w:jc w:val="left"/>
            </w:pPr>
            <w:r>
              <w:rPr>
                <w:rFonts w:ascii="Arial" w:hAnsi="Arial"/>
                <w:sz w:val="16"/>
              </w:rPr>
              <w:t>Use typed versioned contracts; enforce authentication, authorization, business scope, and authoritative financial state on the server.</w:t>
            </w:r>
          </w:p>
        </w:tc>
      </w:tr>
      <w:tr>
        <w:trPr>
          <w:cantSplit w:val="true"/>
        </w:trPr>
        <w:tc>
          <w:tcPr>
            <w:tcW w:type="dxa" w:w="3024"/>
            <w:vAlign w:val="center"/>
            <w:tcMar>
              <w:top w:w="90" w:type="dxa"/>
              <w:start w:w="100" w:type="dxa"/>
              <w:bottom w:w="90" w:type="dxa"/>
              <w:end w:w="100" w:type="dxa"/>
            </w:tcMar>
          </w:tcPr>
          <w:p>
            <w:pPr>
              <w:spacing w:after="0"/>
              <w:jc w:val="center"/>
            </w:pPr>
            <w:r>
              <w:rPr>
                <w:rFonts w:ascii="Arial" w:hAnsi="Arial"/>
                <w:sz w:val="16"/>
              </w:rPr>
              <w:t>Database tables, columns, keys, and physical names</w:t>
            </w:r>
          </w:p>
        </w:tc>
        <w:tc>
          <w:tcPr>
            <w:tcW w:type="dxa" w:w="1655"/>
            <w:vAlign w:val="center"/>
            <w:tcMar>
              <w:top w:w="90" w:type="dxa"/>
              <w:start w:w="100" w:type="dxa"/>
              <w:bottom w:w="90" w:type="dxa"/>
              <w:end w:w="100" w:type="dxa"/>
            </w:tcMar>
          </w:tcPr>
          <w:p>
            <w:pPr>
              <w:spacing w:after="0"/>
              <w:jc w:val="left"/>
            </w:pPr>
            <w:r>
              <w:rPr>
                <w:rFonts w:ascii="Arial" w:hAnsi="Arial"/>
                <w:sz w:val="16"/>
              </w:rPr>
              <w:t>Deferred</w:t>
            </w:r>
          </w:p>
        </w:tc>
        <w:tc>
          <w:tcPr>
            <w:tcW w:type="dxa" w:w="5400"/>
            <w:vAlign w:val="center"/>
            <w:tcMar>
              <w:top w:w="90" w:type="dxa"/>
              <w:start w:w="100" w:type="dxa"/>
              <w:bottom w:w="90" w:type="dxa"/>
              <w:end w:w="100" w:type="dxa"/>
            </w:tcMar>
          </w:tcPr>
          <w:p>
            <w:pPr>
              <w:spacing w:after="0"/>
              <w:jc w:val="left"/>
            </w:pPr>
            <w:r>
              <w:rPr>
                <w:rFonts w:ascii="Arial" w:hAnsi="Arial"/>
                <w:sz w:val="16"/>
              </w:rPr>
              <w:t>Preserve feature ownership and domain relationships; do not infer physical names from this Report 1 document.</w:t>
            </w:r>
          </w:p>
        </w:tc>
      </w:tr>
      <w:tr>
        <w:trPr>
          <w:cantSplit w:val="true"/>
        </w:trPr>
        <w:tc>
          <w:tcPr>
            <w:tcW w:type="dxa" w:w="3024"/>
            <w:vAlign w:val="center"/>
            <w:tcMar>
              <w:top w:w="90" w:type="dxa"/>
              <w:start w:w="100" w:type="dxa"/>
              <w:bottom w:w="90" w:type="dxa"/>
              <w:end w:w="100" w:type="dxa"/>
            </w:tcMar>
            <w:shd w:fill="EAF2F8"/>
          </w:tcPr>
          <w:p>
            <w:pPr>
              <w:spacing w:after="0"/>
              <w:jc w:val="center"/>
            </w:pPr>
            <w:r>
              <w:rPr>
                <w:rFonts w:ascii="Arial" w:hAnsi="Arial"/>
                <w:sz w:val="16"/>
              </w:rPr>
              <w:t>Search and sort defaults</w:t>
            </w:r>
          </w:p>
        </w:tc>
        <w:tc>
          <w:tcPr>
            <w:tcW w:type="dxa" w:w="1655"/>
            <w:vAlign w:val="center"/>
            <w:tcMar>
              <w:top w:w="90" w:type="dxa"/>
              <w:start w:w="100" w:type="dxa"/>
              <w:bottom w:w="90" w:type="dxa"/>
              <w:end w:w="100" w:type="dxa"/>
            </w:tcMar>
            <w:shd w:fill="EAF2F8"/>
          </w:tcPr>
          <w:p>
            <w:pPr>
              <w:spacing w:after="0"/>
              <w:jc w:val="left"/>
            </w:pPr>
            <w:r>
              <w:rPr>
                <w:rFonts w:ascii="Arial" w:hAnsi="Arial"/>
                <w:sz w:val="16"/>
              </w:rPr>
              <w:t>Partially defined</w:t>
            </w:r>
          </w:p>
        </w:tc>
        <w:tc>
          <w:tcPr>
            <w:tcW w:type="dxa" w:w="5400"/>
            <w:vAlign w:val="center"/>
            <w:tcMar>
              <w:top w:w="90" w:type="dxa"/>
              <w:start w:w="100" w:type="dxa"/>
              <w:bottom w:w="90" w:type="dxa"/>
              <w:end w:w="100" w:type="dxa"/>
            </w:tcMar>
            <w:shd w:fill="EAF2F8"/>
          </w:tcPr>
          <w:p>
            <w:pPr>
              <w:spacing w:after="0"/>
              <w:jc w:val="left"/>
            </w:pPr>
            <w:r>
              <w:rPr>
                <w:rFonts w:ascii="Arial" w:hAnsi="Arial"/>
                <w:sz w:val="16"/>
              </w:rPr>
              <w:t>Use only approved criteria and server-side behavior; no default sort order is fixed here.</w:t>
            </w:r>
          </w:p>
        </w:tc>
      </w:tr>
    </w:tbl>
    <w:p>
      <w:pPr>
        <w:spacing w:after="20"/>
      </w:pPr>
    </w:p>
    <w:p>
      <w:pPr>
        <w:pStyle w:val="Heading1"/>
        <w:pageBreakBefore w:val="0"/>
      </w:pPr>
      <w:r>
        <w:t>14. Report 1 – Ready-to-Use Major Feature Description</w:t>
      </w:r>
    </w:p>
    <w:p>
      <w:r>
        <w:t>FE-08: Fee &amp; Invoice Management</w:t>
      </w:r>
    </w:p>
    <w:p>
      <w:r>
        <w:t>Accountant Side:</w:t>
      </w:r>
    </w:p>
    <w:p>
      <w:pPr>
        <w:pStyle w:val="ListBullet"/>
      </w:pPr>
      <w:r>
        <w:t>FE-08.1: Create and maintain supported fee types; deactivate referenced types instead of hard-deleting them.</w:t>
      </w:r>
    </w:p>
    <w:p>
      <w:pPr>
        <w:pStyle w:val="ListBullet"/>
      </w:pPr>
      <w:r>
        <w:t>FE-08.2: Maintain approved rates or charging rules without fixing unapproved formulas.</w:t>
      </w:r>
    </w:p>
    <w:p>
      <w:pPr>
        <w:pStyle w:val="ListBullet"/>
      </w:pPr>
      <w:r>
        <w:t>FE-08.3: Generate draft invoices for valid apartment billing contexts and periods.</w:t>
      </w:r>
    </w:p>
    <w:p>
      <w:pPr>
        <w:pStyle w:val="ListBullet"/>
      </w:pPr>
      <w:r>
        <w:t>FE-08.4: Inspect and correct draft invoice information before issuance.</w:t>
      </w:r>
    </w:p>
    <w:p>
      <w:pPr>
        <w:pStyle w:val="ListBullet"/>
      </w:pPr>
      <w:r>
        <w:t>FE-08.5: Finalize and issue reviewed invoices for authorized access.</w:t>
      </w:r>
    </w:p>
    <w:p>
      <w:pPr>
        <w:pStyle w:val="ListBullet"/>
      </w:pPr>
      <w:r>
        <w:t>FE-08.6: View detailed invoice and invoice-line information for financial operations.</w:t>
      </w:r>
    </w:p>
    <w:p>
      <w:pPr>
        <w:pStyle w:val="ListBullet"/>
      </w:pPr>
      <w:r>
        <w:t>FE-08.7: Search and filter invoice records within the permitted financial scope.</w:t>
      </w:r>
    </w:p>
    <w:p>
      <w:pPr>
        <w:pStyle w:val="ListBullet"/>
      </w:pPr>
      <w:r>
        <w:t>FE-08.8: Manage invoice lifecycle states separately from payment and settlement states.</w:t>
      </w:r>
    </w:p>
    <w:p>
      <w:pPr>
        <w:pStyle w:val="ListBullet"/>
      </w:pPr>
      <w:r>
        <w:t>FE-08.9: View preserved fee and invoice history within the permitted financial scope.</w:t>
      </w:r>
    </w:p>
    <w:p>
      <w:r>
        <w:t>Resident Side:</w:t>
      </w:r>
    </w:p>
    <w:p>
      <w:pPr>
        <w:pStyle w:val="ListBullet"/>
      </w:pPr>
      <w:r>
        <w:t>FE-08.10: View current and historical invoices for permitted apartment contexts.</w:t>
      </w:r>
    </w:p>
    <w:p>
      <w:r>
        <w:t>Manager Side:</w:t>
      </w:r>
    </w:p>
    <w:p>
      <w:pPr>
        <w:pStyle w:val="ListBullet"/>
      </w:pPr>
      <w:r>
        <w:t>FE-08.11: Monitor fee and invoice information without routine modification.</w:t>
      </w:r>
    </w:p>
    <w:p>
      <w:pPr>
        <w:pStyle w:val="ListBullet"/>
      </w:pPr>
      <w:r>
        <w:t>FE-08.12: Search and filter invoice records within the permitted management scope.</w:t>
      </w:r>
    </w:p>
    <w:p>
      <w:pPr>
        <w:pStyle w:val="Heading1"/>
        <w:pageBreakBefore w:val="0"/>
      </w:pPr>
      <w:r>
        <w:t>15. Final Review Result</w:t>
      </w:r>
    </w:p>
    <w:p>
      <w:r>
        <w:t>Status: PASS after documentation consistency correction. FE-08 now uses one stable 12-item sub-feature catalog across the summary, detailed review, actor matrix, acceptance criteria, and Report 1 description. FE-08 owns fees and invoice lifecycle; FE-09 owns payments, settlement, outstanding balances, and debt.</w:t>
      </w:r>
    </w:p>
    <w:sectPr w:rsidR="00FC693F" w:rsidRPr="0006063C" w:rsidSect="00034616">
      <w:footerReference w:type="default" r:id="rId9"/>
      <w:pgSz w:w="12240" w:h="15840"/>
      <w:pgMar w:top="1037" w:right="1037" w:bottom="1037"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PropFlow – Report 1 Feature Review – FE-08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