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PropFlow – FE-09 Detailed Review</w:t>
      </w:r>
    </w:p>
    <w:p>
      <w:pPr>
        <w:jc w:val="center"/>
      </w:pPr>
      <w:r>
        <w:rPr>
          <w:b w:val="0"/>
        </w:rPr>
        <w:t>PropFlow</w:t>
        <w:br/>
      </w:r>
      <w:r>
        <w:rPr>
          <w:b/>
        </w:rPr>
        <w:t>FE-09 – Payment &amp; Debt Management</w:t>
        <w:br/>
      </w:r>
      <w:r>
        <w:rPr>
          <w:b w:val="0"/>
        </w:rPr>
        <w:t>Detailed Feature Review for Report 1</w:t>
        <w:br/>
      </w:r>
      <w:r>
        <w:rPr>
          <w:b w:val="0"/>
        </w:rPr>
        <w:t>Updated baseline: consistent structure, financial-state separation, and access-scope rules</w:t>
      </w:r>
    </w:p>
    <w:p>
      <w:pPr>
        <w:pStyle w:val="Heading1"/>
        <w:pageBreakBefore w:val="0"/>
      </w:pPr>
      <w:r>
        <w:t>1. Feature Purpose and Scope</w:t>
      </w:r>
    </w:p>
    <w:p>
      <w:r>
        <w:t>FE-09 manages payment transactions, payment verification, invoice settlement, outstanding balances, overdue obligations, and payment reminders after FE-08 issues an invoice. FE-08 answers what must be paid. FE-09 answers what has been paid and what remains unpaid.</w:t>
      </w:r>
    </w:p>
    <w:p>
      <w:r>
        <w:t>Scope note: FE-09 extends the original PropFlow proposal to support the five-actor Report 1 baseline. The original Capstone Register does not explicitly include Accountant, Payment, Debt, or other financial-operation modules.</w:t>
      </w:r>
    </w:p>
    <w:p>
      <w:pPr>
        <w:spacing w:before="80" w:after="160"/>
        <w:jc w:val="center"/>
      </w:pPr>
      <w:r>
        <w:rPr>
          <w:rFonts w:ascii="Consolas" w:hAnsi="Consolas"/>
          <w:sz w:val="18"/>
        </w:rPr>
        <w:t>FE-08 Issued Invoice → Payment Submitted or Recorded → Accountant Verification → Confirm or Reject → Settlement and Outstanding Balance</w:t>
      </w:r>
    </w:p>
    <w:p>
      <w:pPr>
        <w:pStyle w:val="Heading1"/>
        <w:pageBreakBefore w:val="0"/>
      </w:pPr>
      <w:r>
        <w:t>2. Actors and Responsibilities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440"/>
            <w:shd w:fill="1F4E78"/>
            <w:vAlign w:val="center"/>
            <w:tcMar>
              <w:top w:w="90" w:type="dxa"/>
              <w:start w:w="100" w:type="dxa"/>
              <w:bottom w:w="90" w:type="dxa"/>
              <w:end w:w="100" w:type="dxa"/>
            </w:tcMar>
          </w:tcPr>
          <w:p>
            <w:pPr>
              <w:jc w:val="center"/>
            </w:pPr>
            <w:r>
              <w:rPr>
                <w:rFonts w:ascii="Arial" w:hAnsi="Arial"/>
                <w:b/>
                <w:color w:val="FFFFFF"/>
                <w:sz w:val="17"/>
              </w:rPr>
              <w:t>Actor</w:t>
            </w:r>
          </w:p>
        </w:tc>
        <w:tc>
          <w:tcPr>
            <w:tcW w:type="dxa" w:w="6912"/>
            <w:shd w:fill="1F4E78"/>
            <w:vAlign w:val="center"/>
            <w:tcMar>
              <w:top w:w="90" w:type="dxa"/>
              <w:start w:w="100" w:type="dxa"/>
              <w:bottom w:w="90" w:type="dxa"/>
              <w:end w:w="100" w:type="dxa"/>
            </w:tcMar>
          </w:tcPr>
          <w:p>
            <w:pPr>
              <w:jc w:val="center"/>
            </w:pPr>
            <w:r>
              <w:rPr>
                <w:rFonts w:ascii="Arial" w:hAnsi="Arial"/>
                <w:b/>
                <w:color w:val="FFFFFF"/>
                <w:sz w:val="17"/>
              </w:rPr>
              <w:t>Role in FE-09</w:t>
            </w:r>
          </w:p>
        </w:tc>
        <w:tc>
          <w:tcPr>
            <w:tcW w:type="dxa" w:w="1728"/>
            <w:shd w:fill="1F4E78"/>
            <w:vAlign w:val="center"/>
            <w:tcMar>
              <w:top w:w="90" w:type="dxa"/>
              <w:start w:w="100" w:type="dxa"/>
              <w:bottom w:w="90" w:type="dxa"/>
              <w:end w:w="100" w:type="dxa"/>
            </w:tcMar>
          </w:tcPr>
          <w:p>
            <w:pPr>
              <w:jc w:val="center"/>
            </w:pPr>
            <w:r>
              <w:rPr>
                <w:rFonts w:ascii="Arial" w:hAnsi="Arial"/>
                <w:b/>
                <w:color w:val="FFFFFF"/>
                <w:sz w:val="17"/>
              </w:rPr>
              <w:t>Access Level</w:t>
            </w:r>
          </w:p>
        </w:tc>
      </w:tr>
      <w:tr>
        <w:trPr>
          <w:cantSplit w:val="true"/>
        </w:trPr>
        <w:tc>
          <w:tcPr>
            <w:tcW w:type="dxa" w:w="1440"/>
            <w:vAlign w:val="center"/>
            <w:tcMar>
              <w:top w:w="90" w:type="dxa"/>
              <w:start w:w="100" w:type="dxa"/>
              <w:bottom w:w="90" w:type="dxa"/>
              <w:end w:w="100" w:type="dxa"/>
            </w:tcMar>
          </w:tcPr>
          <w:p>
            <w:pPr>
              <w:spacing w:after="0"/>
              <w:jc w:val="center"/>
            </w:pPr>
            <w:r>
              <w:rPr>
                <w:rFonts w:ascii="Arial" w:hAnsi="Arial"/>
                <w:sz w:val="17"/>
              </w:rPr>
              <w:t>Resident</w:t>
            </w:r>
          </w:p>
        </w:tc>
        <w:tc>
          <w:tcPr>
            <w:tcW w:type="dxa" w:w="6912"/>
            <w:vAlign w:val="center"/>
            <w:tcMar>
              <w:top w:w="90" w:type="dxa"/>
              <w:start w:w="100" w:type="dxa"/>
              <w:bottom w:w="90" w:type="dxa"/>
              <w:end w:w="100" w:type="dxa"/>
            </w:tcMar>
          </w:tcPr>
          <w:p>
            <w:pPr>
              <w:spacing w:after="0"/>
              <w:jc w:val="left"/>
            </w:pPr>
            <w:r>
              <w:rPr>
                <w:rFonts w:ascii="Arial" w:hAnsi="Arial"/>
                <w:sz w:val="17"/>
              </w:rPr>
              <w:t>View permitted obligations, submit or initiate payments, and view personal payment history.</w:t>
            </w:r>
          </w:p>
        </w:tc>
        <w:tc>
          <w:tcPr>
            <w:tcW w:type="dxa" w:w="1728"/>
            <w:vAlign w:val="center"/>
            <w:tcMar>
              <w:top w:w="90" w:type="dxa"/>
              <w:start w:w="100" w:type="dxa"/>
              <w:bottom w:w="90" w:type="dxa"/>
              <w:end w:w="100" w:type="dxa"/>
            </w:tcMar>
          </w:tcPr>
          <w:p>
            <w:pPr>
              <w:spacing w:after="0"/>
              <w:jc w:val="left"/>
            </w:pPr>
            <w:r>
              <w:rPr>
                <w:rFonts w:ascii="Arial" w:hAnsi="Arial"/>
                <w:sz w:val="17"/>
              </w:rPr>
              <w:t>Own / Permitted</w:t>
            </w:r>
          </w:p>
        </w:tc>
      </w:tr>
      <w:tr>
        <w:trPr>
          <w:cantSplit w:val="true"/>
        </w:trPr>
        <w:tc>
          <w:tcPr>
            <w:tcW w:type="dxa" w:w="1440"/>
            <w:vAlign w:val="center"/>
            <w:tcMar>
              <w:top w:w="90" w:type="dxa"/>
              <w:start w:w="100" w:type="dxa"/>
              <w:bottom w:w="90" w:type="dxa"/>
              <w:end w:w="100" w:type="dxa"/>
            </w:tcMar>
            <w:shd w:fill="EAF2F8"/>
          </w:tcPr>
          <w:p>
            <w:pPr>
              <w:spacing w:after="0"/>
              <w:jc w:val="center"/>
            </w:pPr>
            <w:r>
              <w:rPr>
                <w:rFonts w:ascii="Arial" w:hAnsi="Arial"/>
                <w:sz w:val="17"/>
              </w:rPr>
              <w:t>Accountant</w:t>
            </w:r>
          </w:p>
        </w:tc>
        <w:tc>
          <w:tcPr>
            <w:tcW w:type="dxa" w:w="6912"/>
            <w:vAlign w:val="center"/>
            <w:tcMar>
              <w:top w:w="90" w:type="dxa"/>
              <w:start w:w="100" w:type="dxa"/>
              <w:bottom w:w="90" w:type="dxa"/>
              <w:end w:w="100" w:type="dxa"/>
            </w:tcMar>
            <w:shd w:fill="EAF2F8"/>
          </w:tcPr>
          <w:p>
            <w:pPr>
              <w:spacing w:after="0"/>
              <w:jc w:val="left"/>
            </w:pPr>
            <w:r>
              <w:rPr>
                <w:rFonts w:ascii="Arial" w:hAnsi="Arial"/>
                <w:sz w:val="17"/>
              </w:rPr>
              <w:t>Record, review, verify, confirm, or reject payments and monitor outstanding or overdue balances.</w:t>
            </w:r>
          </w:p>
        </w:tc>
        <w:tc>
          <w:tcPr>
            <w:tcW w:type="dxa" w:w="1728"/>
            <w:vAlign w:val="center"/>
            <w:tcMar>
              <w:top w:w="90" w:type="dxa"/>
              <w:start w:w="100" w:type="dxa"/>
              <w:bottom w:w="90" w:type="dxa"/>
              <w:end w:w="100" w:type="dxa"/>
            </w:tcMar>
            <w:shd w:fill="EAF2F8"/>
          </w:tcPr>
          <w:p>
            <w:pPr>
              <w:spacing w:after="0"/>
              <w:jc w:val="left"/>
            </w:pPr>
            <w:r>
              <w:rPr>
                <w:rFonts w:ascii="Arial" w:hAnsi="Arial"/>
                <w:sz w:val="17"/>
              </w:rPr>
              <w:t>Primary / Manage</w:t>
            </w:r>
          </w:p>
        </w:tc>
      </w:tr>
      <w:tr>
        <w:trPr>
          <w:cantSplit w:val="true"/>
        </w:trPr>
        <w:tc>
          <w:tcPr>
            <w:tcW w:type="dxa" w:w="1440"/>
            <w:vAlign w:val="center"/>
            <w:tcMar>
              <w:top w:w="90" w:type="dxa"/>
              <w:start w:w="100" w:type="dxa"/>
              <w:bottom w:w="90" w:type="dxa"/>
              <w:end w:w="100" w:type="dxa"/>
            </w:tcMar>
          </w:tcPr>
          <w:p>
            <w:pPr>
              <w:spacing w:after="0"/>
              <w:jc w:val="center"/>
            </w:pPr>
            <w:r>
              <w:rPr>
                <w:rFonts w:ascii="Arial" w:hAnsi="Arial"/>
                <w:sz w:val="17"/>
              </w:rPr>
              <w:t>Manager</w:t>
            </w:r>
          </w:p>
        </w:tc>
        <w:tc>
          <w:tcPr>
            <w:tcW w:type="dxa" w:w="6912"/>
            <w:vAlign w:val="center"/>
            <w:tcMar>
              <w:top w:w="90" w:type="dxa"/>
              <w:start w:w="100" w:type="dxa"/>
              <w:bottom w:w="90" w:type="dxa"/>
              <w:end w:w="100" w:type="dxa"/>
            </w:tcMar>
          </w:tcPr>
          <w:p>
            <w:pPr>
              <w:spacing w:after="0"/>
              <w:jc w:val="left"/>
            </w:pPr>
            <w:r>
              <w:rPr>
                <w:rFonts w:ascii="Arial" w:hAnsi="Arial"/>
                <w:sz w:val="17"/>
              </w:rPr>
              <w:t>View and monitor payment, debt, and collection status for management oversight.</w:t>
            </w:r>
          </w:p>
        </w:tc>
        <w:tc>
          <w:tcPr>
            <w:tcW w:type="dxa" w:w="1728"/>
            <w:vAlign w:val="center"/>
            <w:tcMar>
              <w:top w:w="90" w:type="dxa"/>
              <w:start w:w="100" w:type="dxa"/>
              <w:bottom w:w="90" w:type="dxa"/>
              <w:end w:w="100" w:type="dxa"/>
            </w:tcMar>
          </w:tcPr>
          <w:p>
            <w:pPr>
              <w:spacing w:after="0"/>
              <w:jc w:val="left"/>
            </w:pPr>
            <w:r>
              <w:rPr>
                <w:rFonts w:ascii="Arial" w:hAnsi="Arial"/>
                <w:sz w:val="17"/>
              </w:rPr>
              <w:t>Read / Monitor</w:t>
            </w:r>
          </w:p>
        </w:tc>
      </w:tr>
      <w:tr>
        <w:trPr>
          <w:cantSplit w:val="true"/>
        </w:trPr>
        <w:tc>
          <w:tcPr>
            <w:tcW w:type="dxa" w:w="1440"/>
            <w:vAlign w:val="center"/>
            <w:tcMar>
              <w:top w:w="90" w:type="dxa"/>
              <w:start w:w="100" w:type="dxa"/>
              <w:bottom w:w="90" w:type="dxa"/>
              <w:end w:w="100" w:type="dxa"/>
            </w:tcMar>
            <w:shd w:fill="EAF2F8"/>
          </w:tcPr>
          <w:p>
            <w:pPr>
              <w:spacing w:after="0"/>
              <w:jc w:val="center"/>
            </w:pPr>
            <w:r>
              <w:rPr>
                <w:rFonts w:ascii="Arial" w:hAnsi="Arial"/>
                <w:sz w:val="17"/>
              </w:rPr>
              <w:t>Staff</w:t>
            </w:r>
          </w:p>
        </w:tc>
        <w:tc>
          <w:tcPr>
            <w:tcW w:type="dxa" w:w="6912"/>
            <w:vAlign w:val="center"/>
            <w:tcMar>
              <w:top w:w="90" w:type="dxa"/>
              <w:start w:w="100" w:type="dxa"/>
              <w:bottom w:w="90" w:type="dxa"/>
              <w:end w:w="100" w:type="dxa"/>
            </w:tcMar>
            <w:shd w:fill="EAF2F8"/>
          </w:tcPr>
          <w:p>
            <w:pPr>
              <w:spacing w:after="0"/>
              <w:jc w:val="left"/>
            </w:pPr>
            <w:r>
              <w:rPr>
                <w:rFonts w:ascii="Arial" w:hAnsi="Arial"/>
                <w:sz w:val="17"/>
              </w:rPr>
              <w:t>No direct FE-09 business responsibility.</w:t>
            </w:r>
          </w:p>
        </w:tc>
        <w:tc>
          <w:tcPr>
            <w:tcW w:type="dxa" w:w="1728"/>
            <w:vAlign w:val="center"/>
            <w:tcMar>
              <w:top w:w="90" w:type="dxa"/>
              <w:start w:w="100" w:type="dxa"/>
              <w:bottom w:w="90" w:type="dxa"/>
              <w:end w:w="100" w:type="dxa"/>
            </w:tcMar>
            <w:shd w:fill="EAF2F8"/>
          </w:tcPr>
          <w:p>
            <w:pPr>
              <w:spacing w:after="0"/>
              <w:jc w:val="left"/>
            </w:pPr>
            <w:r>
              <w:rPr>
                <w:rFonts w:ascii="Arial" w:hAnsi="Arial"/>
                <w:sz w:val="17"/>
              </w:rPr>
              <w:t>None</w:t>
            </w:r>
          </w:p>
        </w:tc>
      </w:tr>
      <w:tr>
        <w:trPr>
          <w:cantSplit w:val="true"/>
        </w:trPr>
        <w:tc>
          <w:tcPr>
            <w:tcW w:type="dxa" w:w="1440"/>
            <w:vAlign w:val="center"/>
            <w:tcMar>
              <w:top w:w="90" w:type="dxa"/>
              <w:start w:w="100" w:type="dxa"/>
              <w:bottom w:w="90" w:type="dxa"/>
              <w:end w:w="100" w:type="dxa"/>
            </w:tcMar>
          </w:tcPr>
          <w:p>
            <w:pPr>
              <w:spacing w:after="0"/>
              <w:jc w:val="center"/>
            </w:pPr>
            <w:r>
              <w:rPr>
                <w:rFonts w:ascii="Arial" w:hAnsi="Arial"/>
                <w:sz w:val="17"/>
              </w:rPr>
              <w:t>Admin</w:t>
            </w:r>
          </w:p>
        </w:tc>
        <w:tc>
          <w:tcPr>
            <w:tcW w:type="dxa" w:w="6912"/>
            <w:vAlign w:val="center"/>
            <w:tcMar>
              <w:top w:w="90" w:type="dxa"/>
              <w:start w:w="100" w:type="dxa"/>
              <w:bottom w:w="90" w:type="dxa"/>
              <w:end w:w="100" w:type="dxa"/>
            </w:tcMar>
          </w:tcPr>
          <w:p>
            <w:pPr>
              <w:spacing w:after="0"/>
              <w:jc w:val="left"/>
            </w:pPr>
            <w:r>
              <w:rPr>
                <w:rFonts w:ascii="Arial" w:hAnsi="Arial"/>
                <w:sz w:val="17"/>
              </w:rPr>
              <w:t>Administer accounts and access control through FE-15; does not perform FE-09 finance operations.</w:t>
            </w:r>
          </w:p>
        </w:tc>
        <w:tc>
          <w:tcPr>
            <w:tcW w:type="dxa" w:w="1728"/>
            <w:vAlign w:val="center"/>
            <w:tcMar>
              <w:top w:w="90" w:type="dxa"/>
              <w:start w:w="100" w:type="dxa"/>
              <w:bottom w:w="90" w:type="dxa"/>
              <w:end w:w="100" w:type="dxa"/>
            </w:tcMar>
          </w:tcPr>
          <w:p>
            <w:pPr>
              <w:spacing w:after="0"/>
              <w:jc w:val="left"/>
            </w:pPr>
            <w:r>
              <w:rPr>
                <w:rFonts w:ascii="Arial" w:hAnsi="Arial"/>
                <w:sz w:val="17"/>
              </w:rPr>
              <w:t>None</w:t>
            </w:r>
          </w:p>
        </w:tc>
      </w:tr>
    </w:tbl>
    <w:p>
      <w:pPr>
        <w:spacing w:after="20"/>
      </w:pPr>
    </w:p>
    <w:p>
      <w:pPr>
        <w:pStyle w:val="Heading1"/>
        <w:pageBreakBefore w:val="0"/>
      </w:pPr>
      <w:r>
        <w:t>3. Core Domain Concepts</w:t>
      </w:r>
    </w:p>
    <w:p>
      <w:pPr>
        <w:pStyle w:val="Heading2"/>
        <w:pageBreakBefore w:val="0"/>
      </w:pPr>
      <w:r>
        <w:t>3.1 Payment</w:t>
      </w:r>
    </w:p>
    <w:p>
      <w:r>
        <w:t>A Payment is a financial transaction associated with one eligible Invoice in the baseline. A submitted or recorded Payment does not reduce the outstanding balance until an authorized Accountant verifies and confirms it.</w:t>
      </w:r>
    </w:p>
    <w:p>
      <w:pPr>
        <w:pStyle w:val="Heading2"/>
        <w:pageBreakBefore w:val="0"/>
      </w:pPr>
      <w:r>
        <w:t>3.2 Outstanding Balance and Debt</w:t>
      </w:r>
    </w:p>
    <w:p>
      <w:r>
        <w:t>Outstanding balance is derived from the Invoice total and confirmed Payments. It is not manually entered by an Accountant. An Invoice with a remaining balance after its due date is overdue according to approved business rules.</w:t>
      </w:r>
    </w:p>
    <w:p>
      <w:pPr>
        <w:spacing w:before="80" w:after="160"/>
        <w:jc w:val="center"/>
      </w:pPr>
      <w:r>
        <w:rPr>
          <w:rFonts w:ascii="Consolas" w:hAnsi="Consolas"/>
          <w:sz w:val="18"/>
        </w:rPr>
        <w:t>Outstanding Balance = Invoice Total − Sum of Confirmed Payments</w:t>
      </w:r>
    </w:p>
    <w:p>
      <w:pPr>
        <w:pStyle w:val="Heading2"/>
        <w:pageBreakBefore/>
      </w:pPr>
      <w:r>
        <w:t>3.3 Separate Financial Status Concepts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528"/>
            <w:shd w:fill="1F4E78"/>
            <w:vAlign w:val="center"/>
            <w:tcMar>
              <w:top w:w="90" w:type="dxa"/>
              <w:start w:w="100" w:type="dxa"/>
              <w:bottom w:w="90" w:type="dxa"/>
              <w:end w:w="100" w:type="dxa"/>
            </w:tcMar>
          </w:tcPr>
          <w:p>
            <w:pPr>
              <w:jc w:val="center"/>
            </w:pPr>
            <w:r>
              <w:rPr>
                <w:rFonts w:ascii="Arial" w:hAnsi="Arial"/>
                <w:b/>
                <w:color w:val="FFFFFF"/>
                <w:sz w:val="17"/>
              </w:rPr>
              <w:t>Concept</w:t>
            </w:r>
          </w:p>
        </w:tc>
        <w:tc>
          <w:tcPr>
            <w:tcW w:type="dxa" w:w="1800"/>
            <w:shd w:fill="1F4E78"/>
            <w:vAlign w:val="center"/>
            <w:tcMar>
              <w:top w:w="90" w:type="dxa"/>
              <w:start w:w="100" w:type="dxa"/>
              <w:bottom w:w="90" w:type="dxa"/>
              <w:end w:w="100" w:type="dxa"/>
            </w:tcMar>
          </w:tcPr>
          <w:p>
            <w:pPr>
              <w:jc w:val="center"/>
            </w:pPr>
            <w:r>
              <w:rPr>
                <w:rFonts w:ascii="Arial" w:hAnsi="Arial"/>
                <w:b/>
                <w:color w:val="FFFFFF"/>
                <w:sz w:val="17"/>
              </w:rPr>
              <w:t>Owned By</w:t>
            </w:r>
          </w:p>
        </w:tc>
        <w:tc>
          <w:tcPr>
            <w:tcW w:type="dxa" w:w="4752"/>
            <w:shd w:fill="1F4E78"/>
            <w:vAlign w:val="center"/>
            <w:tcMar>
              <w:top w:w="90" w:type="dxa"/>
              <w:start w:w="100" w:type="dxa"/>
              <w:bottom w:w="90" w:type="dxa"/>
              <w:end w:w="100" w:type="dxa"/>
            </w:tcMar>
          </w:tcPr>
          <w:p>
            <w:pPr>
              <w:jc w:val="center"/>
            </w:pPr>
            <w:r>
              <w:rPr>
                <w:rFonts w:ascii="Arial" w:hAnsi="Arial"/>
                <w:b/>
                <w:color w:val="FFFFFF"/>
                <w:sz w:val="17"/>
              </w:rPr>
              <w:t>Illustrative States</w:t>
            </w:r>
          </w:p>
        </w:tc>
      </w:tr>
      <w:tr>
        <w:trPr>
          <w:cantSplit w:val="true"/>
        </w:trPr>
        <w:tc>
          <w:tcPr>
            <w:tcW w:type="dxa" w:w="3528"/>
            <w:vAlign w:val="center"/>
            <w:tcMar>
              <w:top w:w="90" w:type="dxa"/>
              <w:start w:w="100" w:type="dxa"/>
              <w:bottom w:w="90" w:type="dxa"/>
              <w:end w:w="100" w:type="dxa"/>
            </w:tcMar>
          </w:tcPr>
          <w:p>
            <w:pPr>
              <w:spacing w:after="0"/>
              <w:jc w:val="center"/>
            </w:pPr>
            <w:r>
              <w:rPr>
                <w:rFonts w:ascii="Arial" w:hAnsi="Arial"/>
                <w:sz w:val="17"/>
              </w:rPr>
              <w:t>Invoice Lifecycle Status</w:t>
            </w:r>
          </w:p>
        </w:tc>
        <w:tc>
          <w:tcPr>
            <w:tcW w:type="dxa" w:w="1800"/>
            <w:vAlign w:val="center"/>
            <w:tcMar>
              <w:top w:w="90" w:type="dxa"/>
              <w:start w:w="100" w:type="dxa"/>
              <w:bottom w:w="90" w:type="dxa"/>
              <w:end w:w="100" w:type="dxa"/>
            </w:tcMar>
          </w:tcPr>
          <w:p>
            <w:pPr>
              <w:spacing w:after="0"/>
              <w:jc w:val="left"/>
            </w:pPr>
            <w:r>
              <w:rPr>
                <w:rFonts w:ascii="Arial" w:hAnsi="Arial"/>
                <w:sz w:val="17"/>
              </w:rPr>
              <w:t>FE-08</w:t>
            </w:r>
          </w:p>
        </w:tc>
        <w:tc>
          <w:tcPr>
            <w:tcW w:type="dxa" w:w="4752"/>
            <w:vAlign w:val="center"/>
            <w:tcMar>
              <w:top w:w="90" w:type="dxa"/>
              <w:start w:w="100" w:type="dxa"/>
              <w:bottom w:w="90" w:type="dxa"/>
              <w:end w:w="100" w:type="dxa"/>
            </w:tcMar>
          </w:tcPr>
          <w:p>
            <w:pPr>
              <w:spacing w:after="0"/>
              <w:jc w:val="left"/>
            </w:pPr>
            <w:r>
              <w:rPr>
                <w:rFonts w:ascii="Arial" w:hAnsi="Arial"/>
                <w:sz w:val="17"/>
              </w:rPr>
              <w:t>Draft, Issued, Cancelled</w:t>
            </w:r>
          </w:p>
        </w:tc>
      </w:tr>
      <w:tr>
        <w:trPr>
          <w:cantSplit w:val="true"/>
        </w:trPr>
        <w:tc>
          <w:tcPr>
            <w:tcW w:type="dxa" w:w="3528"/>
            <w:vAlign w:val="center"/>
            <w:tcMar>
              <w:top w:w="90" w:type="dxa"/>
              <w:start w:w="100" w:type="dxa"/>
              <w:bottom w:w="90" w:type="dxa"/>
              <w:end w:w="100" w:type="dxa"/>
            </w:tcMar>
            <w:shd w:fill="EAF2F8"/>
          </w:tcPr>
          <w:p>
            <w:pPr>
              <w:spacing w:after="0"/>
              <w:jc w:val="center"/>
            </w:pPr>
            <w:r>
              <w:rPr>
                <w:rFonts w:ascii="Arial" w:hAnsi="Arial"/>
                <w:sz w:val="17"/>
              </w:rPr>
              <w:t>Payment Transaction Status</w:t>
            </w:r>
          </w:p>
        </w:tc>
        <w:tc>
          <w:tcPr>
            <w:tcW w:type="dxa" w:w="1800"/>
            <w:vAlign w:val="center"/>
            <w:tcMar>
              <w:top w:w="90" w:type="dxa"/>
              <w:start w:w="100" w:type="dxa"/>
              <w:bottom w:w="90" w:type="dxa"/>
              <w:end w:w="100" w:type="dxa"/>
            </w:tcMar>
            <w:shd w:fill="EAF2F8"/>
          </w:tcPr>
          <w:p>
            <w:pPr>
              <w:spacing w:after="0"/>
              <w:jc w:val="left"/>
            </w:pPr>
            <w:r>
              <w:rPr>
                <w:rFonts w:ascii="Arial" w:hAnsi="Arial"/>
                <w:sz w:val="17"/>
              </w:rPr>
              <w:t>FE-09</w:t>
            </w:r>
          </w:p>
        </w:tc>
        <w:tc>
          <w:tcPr>
            <w:tcW w:type="dxa" w:w="4752"/>
            <w:vAlign w:val="center"/>
            <w:tcMar>
              <w:top w:w="90" w:type="dxa"/>
              <w:start w:w="100" w:type="dxa"/>
              <w:bottom w:w="90" w:type="dxa"/>
              <w:end w:w="100" w:type="dxa"/>
            </w:tcMar>
            <w:shd w:fill="EAF2F8"/>
          </w:tcPr>
          <w:p>
            <w:pPr>
              <w:spacing w:after="0"/>
              <w:jc w:val="left"/>
            </w:pPr>
            <w:r>
              <w:rPr>
                <w:rFonts w:ascii="Arial" w:hAnsi="Arial"/>
                <w:sz w:val="17"/>
              </w:rPr>
              <w:t>Pending, Confirmed, Rejected</w:t>
            </w:r>
          </w:p>
        </w:tc>
      </w:tr>
      <w:tr>
        <w:trPr>
          <w:cantSplit w:val="true"/>
        </w:trPr>
        <w:tc>
          <w:tcPr>
            <w:tcW w:type="dxa" w:w="3528"/>
            <w:vAlign w:val="center"/>
            <w:tcMar>
              <w:top w:w="90" w:type="dxa"/>
              <w:start w:w="100" w:type="dxa"/>
              <w:bottom w:w="90" w:type="dxa"/>
              <w:end w:w="100" w:type="dxa"/>
            </w:tcMar>
          </w:tcPr>
          <w:p>
            <w:pPr>
              <w:spacing w:after="0"/>
              <w:jc w:val="center"/>
            </w:pPr>
            <w:r>
              <w:rPr>
                <w:rFonts w:ascii="Arial" w:hAnsi="Arial"/>
                <w:sz w:val="17"/>
              </w:rPr>
              <w:t>Invoice Settlement Status</w:t>
            </w:r>
          </w:p>
        </w:tc>
        <w:tc>
          <w:tcPr>
            <w:tcW w:type="dxa" w:w="1800"/>
            <w:vAlign w:val="center"/>
            <w:tcMar>
              <w:top w:w="90" w:type="dxa"/>
              <w:start w:w="100" w:type="dxa"/>
              <w:bottom w:w="90" w:type="dxa"/>
              <w:end w:w="100" w:type="dxa"/>
            </w:tcMar>
          </w:tcPr>
          <w:p>
            <w:pPr>
              <w:spacing w:after="0"/>
              <w:jc w:val="left"/>
            </w:pPr>
            <w:r>
              <w:rPr>
                <w:rFonts w:ascii="Arial" w:hAnsi="Arial"/>
                <w:sz w:val="17"/>
              </w:rPr>
              <w:t>FE-09</w:t>
            </w:r>
          </w:p>
        </w:tc>
        <w:tc>
          <w:tcPr>
            <w:tcW w:type="dxa" w:w="4752"/>
            <w:vAlign w:val="center"/>
            <w:tcMar>
              <w:top w:w="90" w:type="dxa"/>
              <w:start w:w="100" w:type="dxa"/>
              <w:bottom w:w="90" w:type="dxa"/>
              <w:end w:w="100" w:type="dxa"/>
            </w:tcMar>
          </w:tcPr>
          <w:p>
            <w:pPr>
              <w:spacing w:after="0"/>
              <w:jc w:val="left"/>
            </w:pPr>
            <w:r>
              <w:rPr>
                <w:rFonts w:ascii="Arial" w:hAnsi="Arial"/>
                <w:sz w:val="17"/>
              </w:rPr>
              <w:t>Unpaid, Partially Paid, Paid, Overdue</w:t>
            </w:r>
          </w:p>
        </w:tc>
      </w:tr>
    </w:tbl>
    <w:p>
      <w:pPr>
        <w:spacing w:after="20"/>
      </w:pPr>
    </w:p>
    <w:p>
      <w:pPr>
        <w:pStyle w:val="Heading1"/>
        <w:pageBreakBefore w:val="0"/>
      </w:pPr>
      <w:r>
        <w:t>4. Final Sub-Features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080"/>
            <w:shd w:fill="1F4E78"/>
            <w:vAlign w:val="center"/>
            <w:tcMar>
              <w:top w:w="90" w:type="dxa"/>
              <w:start w:w="100" w:type="dxa"/>
              <w:bottom w:w="90" w:type="dxa"/>
              <w:end w:w="100" w:type="dxa"/>
            </w:tcMar>
          </w:tcPr>
          <w:p>
            <w:pPr>
              <w:jc w:val="center"/>
            </w:pPr>
            <w:r>
              <w:rPr>
                <w:rFonts w:ascii="Arial" w:hAnsi="Arial"/>
                <w:b/>
                <w:color w:val="FFFFFF"/>
                <w:sz w:val="15"/>
              </w:rPr>
              <w:t>ID</w:t>
            </w:r>
          </w:p>
        </w:tc>
        <w:tc>
          <w:tcPr>
            <w:tcW w:type="dxa" w:w="2880"/>
            <w:shd w:fill="1F4E78"/>
            <w:vAlign w:val="center"/>
            <w:tcMar>
              <w:top w:w="90" w:type="dxa"/>
              <w:start w:w="100" w:type="dxa"/>
              <w:bottom w:w="90" w:type="dxa"/>
              <w:end w:w="100" w:type="dxa"/>
            </w:tcMar>
          </w:tcPr>
          <w:p>
            <w:pPr>
              <w:jc w:val="center"/>
            </w:pPr>
            <w:r>
              <w:rPr>
                <w:rFonts w:ascii="Arial" w:hAnsi="Arial"/>
                <w:b/>
                <w:color w:val="FFFFFF"/>
                <w:sz w:val="15"/>
              </w:rPr>
              <w:t>Sub-Feature</w:t>
            </w:r>
          </w:p>
        </w:tc>
        <w:tc>
          <w:tcPr>
            <w:tcW w:type="dxa" w:w="1440"/>
            <w:shd w:fill="1F4E78"/>
            <w:vAlign w:val="center"/>
            <w:tcMar>
              <w:top w:w="90" w:type="dxa"/>
              <w:start w:w="100" w:type="dxa"/>
              <w:bottom w:w="90" w:type="dxa"/>
              <w:end w:w="100" w:type="dxa"/>
            </w:tcMar>
          </w:tcPr>
          <w:p>
            <w:pPr>
              <w:jc w:val="center"/>
            </w:pPr>
            <w:r>
              <w:rPr>
                <w:rFonts w:ascii="Arial" w:hAnsi="Arial"/>
                <w:b/>
                <w:color w:val="FFFFFF"/>
                <w:sz w:val="15"/>
              </w:rPr>
              <w:t>Primary Actor</w:t>
            </w:r>
          </w:p>
        </w:tc>
        <w:tc>
          <w:tcPr>
            <w:tcW w:type="dxa" w:w="4680"/>
            <w:shd w:fill="1F4E78"/>
            <w:vAlign w:val="center"/>
            <w:tcMar>
              <w:top w:w="90" w:type="dxa"/>
              <w:start w:w="100" w:type="dxa"/>
              <w:bottom w:w="90" w:type="dxa"/>
              <w:end w:w="100" w:type="dxa"/>
            </w:tcMar>
          </w:tcPr>
          <w:p>
            <w:pPr>
              <w:jc w:val="center"/>
            </w:pPr>
            <w:r>
              <w:rPr>
                <w:rFonts w:ascii="Arial" w:hAnsi="Arial"/>
                <w:b/>
                <w:color w:val="FFFFFF"/>
                <w:sz w:val="15"/>
              </w:rPr>
              <w:t>Description</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FE-09.1</w:t>
            </w:r>
          </w:p>
        </w:tc>
        <w:tc>
          <w:tcPr>
            <w:tcW w:type="dxa" w:w="2880"/>
            <w:vAlign w:val="center"/>
            <w:tcMar>
              <w:top w:w="90" w:type="dxa"/>
              <w:start w:w="100" w:type="dxa"/>
              <w:bottom w:w="90" w:type="dxa"/>
              <w:end w:w="100" w:type="dxa"/>
            </w:tcMar>
          </w:tcPr>
          <w:p>
            <w:pPr>
              <w:spacing w:after="0"/>
              <w:jc w:val="left"/>
            </w:pPr>
            <w:r>
              <w:rPr>
                <w:rFonts w:ascii="Arial" w:hAnsi="Arial"/>
                <w:sz w:val="15"/>
              </w:rPr>
              <w:t>View Payment Obligations and Outstanding Balances</w:t>
            </w:r>
          </w:p>
        </w:tc>
        <w:tc>
          <w:tcPr>
            <w:tcW w:type="dxa" w:w="1440"/>
            <w:vAlign w:val="center"/>
            <w:tcMar>
              <w:top w:w="90" w:type="dxa"/>
              <w:start w:w="100" w:type="dxa"/>
              <w:bottom w:w="90" w:type="dxa"/>
              <w:end w:w="100" w:type="dxa"/>
            </w:tcMar>
          </w:tcPr>
          <w:p>
            <w:pPr>
              <w:spacing w:after="0"/>
              <w:jc w:val="left"/>
            </w:pPr>
            <w:r>
              <w:rPr>
                <w:rFonts w:ascii="Arial" w:hAnsi="Arial"/>
                <w:sz w:val="15"/>
              </w:rPr>
              <w:t>Resident</w:t>
            </w:r>
          </w:p>
        </w:tc>
        <w:tc>
          <w:tcPr>
            <w:tcW w:type="dxa" w:w="4680"/>
            <w:vAlign w:val="center"/>
            <w:tcMar>
              <w:top w:w="90" w:type="dxa"/>
              <w:start w:w="100" w:type="dxa"/>
              <w:bottom w:w="90" w:type="dxa"/>
              <w:end w:w="100" w:type="dxa"/>
            </w:tcMar>
          </w:tcPr>
          <w:p>
            <w:pPr>
              <w:spacing w:after="0"/>
              <w:jc w:val="left"/>
            </w:pPr>
            <w:r>
              <w:rPr>
                <w:rFonts w:ascii="Arial" w:hAnsi="Arial"/>
                <w:sz w:val="15"/>
              </w:rPr>
              <w:t>View invoice amounts, confirmed paid amounts, remaining balances, due dates, and permitted settlement information.</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FE-09.2</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Submit or Initiate Payment</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Resident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Submit or initiate payment for an eligible invoice without marking it paid.</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FE-09.3</w:t>
            </w:r>
          </w:p>
        </w:tc>
        <w:tc>
          <w:tcPr>
            <w:tcW w:type="dxa" w:w="2880"/>
            <w:vAlign w:val="center"/>
            <w:tcMar>
              <w:top w:w="90" w:type="dxa"/>
              <w:start w:w="100" w:type="dxa"/>
              <w:bottom w:w="90" w:type="dxa"/>
              <w:end w:w="100" w:type="dxa"/>
            </w:tcMar>
          </w:tcPr>
          <w:p>
            <w:pPr>
              <w:spacing w:after="0"/>
              <w:jc w:val="left"/>
            </w:pPr>
            <w:r>
              <w:rPr>
                <w:rFonts w:ascii="Arial" w:hAnsi="Arial"/>
                <w:sz w:val="15"/>
              </w:rPr>
              <w:t>View Personal Payment History</w:t>
            </w:r>
          </w:p>
        </w:tc>
        <w:tc>
          <w:tcPr>
            <w:tcW w:type="dxa" w:w="1440"/>
            <w:vAlign w:val="center"/>
            <w:tcMar>
              <w:top w:w="90" w:type="dxa"/>
              <w:start w:w="100" w:type="dxa"/>
              <w:bottom w:w="90" w:type="dxa"/>
              <w:end w:w="100" w:type="dxa"/>
            </w:tcMar>
          </w:tcPr>
          <w:p>
            <w:pPr>
              <w:spacing w:after="0"/>
              <w:jc w:val="left"/>
            </w:pPr>
            <w:r>
              <w:rPr>
                <w:rFonts w:ascii="Arial" w:hAnsi="Arial"/>
                <w:sz w:val="15"/>
              </w:rPr>
              <w:t>Resident</w:t>
            </w:r>
          </w:p>
        </w:tc>
        <w:tc>
          <w:tcPr>
            <w:tcW w:type="dxa" w:w="4680"/>
            <w:vAlign w:val="center"/>
            <w:tcMar>
              <w:top w:w="90" w:type="dxa"/>
              <w:start w:w="100" w:type="dxa"/>
              <w:bottom w:w="90" w:type="dxa"/>
              <w:end w:w="100" w:type="dxa"/>
            </w:tcMar>
          </w:tcPr>
          <w:p>
            <w:pPr>
              <w:spacing w:after="0"/>
              <w:jc w:val="left"/>
            </w:pPr>
            <w:r>
              <w:rPr>
                <w:rFonts w:ascii="Arial" w:hAnsi="Arial"/>
                <w:sz w:val="15"/>
              </w:rPr>
              <w:t>View permitted payment transactions and verification status.</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FE-09.4</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Record Payment Transactions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Accountant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Record valid payment transactions and associate each with the appropriate invoice.</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FE-09.5</w:t>
            </w:r>
          </w:p>
        </w:tc>
        <w:tc>
          <w:tcPr>
            <w:tcW w:type="dxa" w:w="2880"/>
            <w:vAlign w:val="center"/>
            <w:tcMar>
              <w:top w:w="90" w:type="dxa"/>
              <w:start w:w="100" w:type="dxa"/>
              <w:bottom w:w="90" w:type="dxa"/>
              <w:end w:w="100" w:type="dxa"/>
            </w:tcMar>
          </w:tcPr>
          <w:p>
            <w:pPr>
              <w:spacing w:after="0"/>
              <w:jc w:val="left"/>
            </w:pPr>
            <w:r>
              <w:rPr>
                <w:rFonts w:ascii="Arial" w:hAnsi="Arial"/>
                <w:sz w:val="15"/>
              </w:rPr>
              <w:t>Review and Verify Payments</w:t>
            </w:r>
          </w:p>
        </w:tc>
        <w:tc>
          <w:tcPr>
            <w:tcW w:type="dxa" w:w="1440"/>
            <w:vAlign w:val="center"/>
            <w:tcMar>
              <w:top w:w="90" w:type="dxa"/>
              <w:start w:w="100" w:type="dxa"/>
              <w:bottom w:w="90" w:type="dxa"/>
              <w:end w:w="100" w:type="dxa"/>
            </w:tcMar>
          </w:tcPr>
          <w:p>
            <w:pPr>
              <w:spacing w:after="0"/>
              <w:jc w:val="left"/>
            </w:pPr>
            <w:r>
              <w:rPr>
                <w:rFonts w:ascii="Arial" w:hAnsi="Arial"/>
                <w:sz w:val="15"/>
              </w:rPr>
              <w:t>Accountant</w:t>
            </w:r>
          </w:p>
        </w:tc>
        <w:tc>
          <w:tcPr>
            <w:tcW w:type="dxa" w:w="4680"/>
            <w:vAlign w:val="center"/>
            <w:tcMar>
              <w:top w:w="90" w:type="dxa"/>
              <w:start w:w="100" w:type="dxa"/>
              <w:bottom w:w="90" w:type="dxa"/>
              <w:end w:w="100" w:type="dxa"/>
            </w:tcMar>
          </w:tcPr>
          <w:p>
            <w:pPr>
              <w:spacing w:after="0"/>
              <w:jc w:val="left"/>
            </w:pPr>
            <w:r>
              <w:rPr>
                <w:rFonts w:ascii="Arial" w:hAnsi="Arial"/>
                <w:sz w:val="15"/>
              </w:rPr>
              <w:t>Review payment details, invoice references, amounts, and supported evidence or references.</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FE-09.6</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Confirm or Reject Payments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Accountant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Confirm valid payments or reject invalid transactions; only confirmed payments reduce balances.</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FE-09.7</w:t>
            </w:r>
          </w:p>
        </w:tc>
        <w:tc>
          <w:tcPr>
            <w:tcW w:type="dxa" w:w="2880"/>
            <w:vAlign w:val="center"/>
            <w:tcMar>
              <w:top w:w="90" w:type="dxa"/>
              <w:start w:w="100" w:type="dxa"/>
              <w:bottom w:w="90" w:type="dxa"/>
              <w:end w:w="100" w:type="dxa"/>
            </w:tcMar>
          </w:tcPr>
          <w:p>
            <w:pPr>
              <w:spacing w:after="0"/>
              <w:jc w:val="left"/>
            </w:pPr>
            <w:r>
              <w:rPr>
                <w:rFonts w:ascii="Arial" w:hAnsi="Arial"/>
                <w:sz w:val="15"/>
              </w:rPr>
              <w:t>Track Invoice Settlement and Outstanding Balance</w:t>
            </w:r>
          </w:p>
        </w:tc>
        <w:tc>
          <w:tcPr>
            <w:tcW w:type="dxa" w:w="1440"/>
            <w:vAlign w:val="center"/>
            <w:tcMar>
              <w:top w:w="90" w:type="dxa"/>
              <w:start w:w="100" w:type="dxa"/>
              <w:bottom w:w="90" w:type="dxa"/>
              <w:end w:w="100" w:type="dxa"/>
            </w:tcMar>
          </w:tcPr>
          <w:p>
            <w:pPr>
              <w:spacing w:after="0"/>
              <w:jc w:val="left"/>
            </w:pPr>
            <w:r>
              <w:rPr>
                <w:rFonts w:ascii="Arial" w:hAnsi="Arial"/>
                <w:sz w:val="15"/>
              </w:rPr>
              <w:t>Accountant</w:t>
            </w:r>
          </w:p>
        </w:tc>
        <w:tc>
          <w:tcPr>
            <w:tcW w:type="dxa" w:w="4680"/>
            <w:vAlign w:val="center"/>
            <w:tcMar>
              <w:top w:w="90" w:type="dxa"/>
              <w:start w:w="100" w:type="dxa"/>
              <w:bottom w:w="90" w:type="dxa"/>
              <w:end w:w="100" w:type="dxa"/>
            </w:tcMar>
          </w:tcPr>
          <w:p>
            <w:pPr>
              <w:spacing w:after="0"/>
              <w:jc w:val="left"/>
            </w:pPr>
            <w:r>
              <w:rPr>
                <w:rFonts w:ascii="Arial" w:hAnsi="Arial"/>
                <w:sz w:val="15"/>
              </w:rPr>
              <w:t>Monitor settlement and remaining balances based on confirmed payments.</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FE-09.8</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Monitor Overdue Debts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Accountant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Identify and monitor invoices with remaining balances after the due date.</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FE-09.9</w:t>
            </w:r>
          </w:p>
        </w:tc>
        <w:tc>
          <w:tcPr>
            <w:tcW w:type="dxa" w:w="2880"/>
            <w:vAlign w:val="center"/>
            <w:tcMar>
              <w:top w:w="90" w:type="dxa"/>
              <w:start w:w="100" w:type="dxa"/>
              <w:bottom w:w="90" w:type="dxa"/>
              <w:end w:w="100" w:type="dxa"/>
            </w:tcMar>
          </w:tcPr>
          <w:p>
            <w:pPr>
              <w:spacing w:after="0"/>
              <w:jc w:val="left"/>
            </w:pPr>
            <w:r>
              <w:rPr>
                <w:rFonts w:ascii="Arial" w:hAnsi="Arial"/>
                <w:sz w:val="15"/>
              </w:rPr>
              <w:t>Search and Filter Payments and Debts</w:t>
            </w:r>
          </w:p>
        </w:tc>
        <w:tc>
          <w:tcPr>
            <w:tcW w:type="dxa" w:w="1440"/>
            <w:vAlign w:val="center"/>
            <w:tcMar>
              <w:top w:w="90" w:type="dxa"/>
              <w:start w:w="100" w:type="dxa"/>
              <w:bottom w:w="90" w:type="dxa"/>
              <w:end w:w="100" w:type="dxa"/>
            </w:tcMar>
          </w:tcPr>
          <w:p>
            <w:pPr>
              <w:spacing w:after="0"/>
              <w:jc w:val="left"/>
            </w:pPr>
            <w:r>
              <w:rPr>
                <w:rFonts w:ascii="Arial" w:hAnsi="Arial"/>
                <w:sz w:val="15"/>
              </w:rPr>
              <w:t>Accountant</w:t>
            </w:r>
          </w:p>
        </w:tc>
        <w:tc>
          <w:tcPr>
            <w:tcW w:type="dxa" w:w="4680"/>
            <w:vAlign w:val="center"/>
            <w:tcMar>
              <w:top w:w="90" w:type="dxa"/>
              <w:start w:w="100" w:type="dxa"/>
              <w:bottom w:w="90" w:type="dxa"/>
              <w:end w:w="100" w:type="dxa"/>
            </w:tcMar>
          </w:tcPr>
          <w:p>
            <w:pPr>
              <w:spacing w:after="0"/>
              <w:jc w:val="left"/>
            </w:pPr>
            <w:r>
              <w:rPr>
                <w:rFonts w:ascii="Arial" w:hAnsi="Arial"/>
                <w:sz w:val="15"/>
              </w:rPr>
              <w:t>Search and filter payment and debt records within the permitted financial scope.</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FE-09.10</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Manage Payment and Debt Reminders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Accountant</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Initiate approved reminders; FE-13 owns notification delivery.</w:t>
            </w:r>
          </w:p>
        </w:tc>
      </w:tr>
      <w:tr>
        <w:trPr>
          <w:cantSplit w:val="true"/>
        </w:trPr>
        <w:tc>
          <w:tcPr>
            <w:tcW w:type="dxa" w:w="1080"/>
            <w:vAlign w:val="center"/>
            <w:tcMar>
              <w:top w:w="90" w:type="dxa"/>
              <w:start w:w="100" w:type="dxa"/>
              <w:bottom w:w="90" w:type="dxa"/>
              <w:end w:w="100" w:type="dxa"/>
            </w:tcMar>
          </w:tcPr>
          <w:p>
            <w:pPr>
              <w:spacing w:after="0"/>
              <w:jc w:val="center"/>
            </w:pPr>
            <w:r>
              <w:rPr>
                <w:rFonts w:ascii="Arial" w:hAnsi="Arial"/>
                <w:sz w:val="15"/>
              </w:rPr>
              <w:t>FE-09.11</w:t>
            </w:r>
          </w:p>
        </w:tc>
        <w:tc>
          <w:tcPr>
            <w:tcW w:type="dxa" w:w="2880"/>
            <w:vAlign w:val="center"/>
            <w:tcMar>
              <w:top w:w="90" w:type="dxa"/>
              <w:start w:w="100" w:type="dxa"/>
              <w:bottom w:w="90" w:type="dxa"/>
              <w:end w:w="100" w:type="dxa"/>
            </w:tcMar>
          </w:tcPr>
          <w:p>
            <w:pPr>
              <w:spacing w:after="0"/>
              <w:jc w:val="left"/>
            </w:pPr>
            <w:r>
              <w:rPr>
                <w:rFonts w:ascii="Arial" w:hAnsi="Arial"/>
                <w:sz w:val="15"/>
              </w:rPr>
              <w:t>View Payment and Debt Information</w:t>
            </w:r>
          </w:p>
        </w:tc>
        <w:tc>
          <w:tcPr>
            <w:tcW w:type="dxa" w:w="1440"/>
            <w:vAlign w:val="center"/>
            <w:tcMar>
              <w:top w:w="90" w:type="dxa"/>
              <w:start w:w="100" w:type="dxa"/>
              <w:bottom w:w="90" w:type="dxa"/>
              <w:end w:w="100" w:type="dxa"/>
            </w:tcMar>
          </w:tcPr>
          <w:p>
            <w:pPr>
              <w:spacing w:after="0"/>
              <w:jc w:val="left"/>
            </w:pPr>
            <w:r>
              <w:rPr>
                <w:rFonts w:ascii="Arial" w:hAnsi="Arial"/>
                <w:sz w:val="15"/>
              </w:rPr>
              <w:t>Manager</w:t>
            </w:r>
          </w:p>
        </w:tc>
        <w:tc>
          <w:tcPr>
            <w:tcW w:type="dxa" w:w="4680"/>
            <w:vAlign w:val="center"/>
            <w:tcMar>
              <w:top w:w="90" w:type="dxa"/>
              <w:start w:w="100" w:type="dxa"/>
              <w:bottom w:w="90" w:type="dxa"/>
              <w:end w:w="100" w:type="dxa"/>
            </w:tcMar>
          </w:tcPr>
          <w:p>
            <w:pPr>
              <w:spacing w:after="0"/>
              <w:jc w:val="left"/>
            </w:pPr>
            <w:r>
              <w:rPr>
                <w:rFonts w:ascii="Arial" w:hAnsi="Arial"/>
                <w:sz w:val="15"/>
              </w:rPr>
              <w:t>View settlement, payment, outstanding-balance, and overdue information for oversight.</w:t>
            </w:r>
          </w:p>
        </w:tc>
      </w:tr>
      <w:tr>
        <w:trPr>
          <w:cantSplit w:val="true"/>
        </w:trPr>
        <w:tc>
          <w:tcPr>
            <w:tcW w:type="dxa" w:w="1080"/>
            <w:vAlign w:val="center"/>
            <w:tcMar>
              <w:top w:w="90" w:type="dxa"/>
              <w:start w:w="100" w:type="dxa"/>
              <w:bottom w:w="90" w:type="dxa"/>
              <w:end w:w="100" w:type="dxa"/>
            </w:tcMar>
            <w:shd w:fill="EAF2F8"/>
          </w:tcPr>
          <w:p>
            <w:pPr>
              <w:spacing w:after="0"/>
              <w:jc w:val="center"/>
            </w:pPr>
            <w:r>
              <w:rPr>
                <w:rFonts w:ascii="Arial" w:hAnsi="Arial"/>
                <w:sz w:val="15"/>
              </w:rPr>
              <w:t>FE-09.12</w:t>
            </w:r>
          </w:p>
        </w:tc>
        <w:tc>
          <w:tcPr>
            <w:tcW w:type="dxa" w:w="2880"/>
            <w:vAlign w:val="center"/>
            <w:tcMar>
              <w:top w:w="90" w:type="dxa"/>
              <w:start w:w="100" w:type="dxa"/>
              <w:bottom w:w="90" w:type="dxa"/>
              <w:end w:w="100" w:type="dxa"/>
            </w:tcMar>
            <w:shd w:fill="EAF2F8"/>
          </w:tcPr>
          <w:p>
            <w:pPr>
              <w:spacing w:after="0"/>
              <w:jc w:val="left"/>
            </w:pPr>
            <w:r>
              <w:rPr>
                <w:rFonts w:ascii="Arial" w:hAnsi="Arial"/>
                <w:sz w:val="15"/>
              </w:rPr>
              <w:t>Search and Monitor Financial Collection Status</w:t>
            </w:r>
          </w:p>
        </w:tc>
        <w:tc>
          <w:tcPr>
            <w:tcW w:type="dxa" w:w="1440"/>
            <w:vAlign w:val="center"/>
            <w:tcMar>
              <w:top w:w="90" w:type="dxa"/>
              <w:start w:w="100" w:type="dxa"/>
              <w:bottom w:w="90" w:type="dxa"/>
              <w:end w:w="100" w:type="dxa"/>
            </w:tcMar>
            <w:shd w:fill="EAF2F8"/>
          </w:tcPr>
          <w:p>
            <w:pPr>
              <w:spacing w:after="0"/>
              <w:jc w:val="left"/>
            </w:pPr>
            <w:r>
              <w:rPr>
                <w:rFonts w:ascii="Arial" w:hAnsi="Arial"/>
                <w:sz w:val="15"/>
              </w:rPr>
              <w:t>Manager</w:t>
            </w:r>
          </w:p>
        </w:tc>
        <w:tc>
          <w:tcPr>
            <w:tcW w:type="dxa" w:w="4680"/>
            <w:vAlign w:val="center"/>
            <w:tcMar>
              <w:top w:w="90" w:type="dxa"/>
              <w:start w:w="100" w:type="dxa"/>
              <w:bottom w:w="90" w:type="dxa"/>
              <w:end w:w="100" w:type="dxa"/>
            </w:tcMar>
            <w:shd w:fill="EAF2F8"/>
          </w:tcPr>
          <w:p>
            <w:pPr>
              <w:spacing w:after="0"/>
              <w:jc w:val="left"/>
            </w:pPr>
            <w:r>
              <w:rPr>
                <w:rFonts w:ascii="Arial" w:hAnsi="Arial"/>
                <w:sz w:val="15"/>
              </w:rPr>
              <w:t>Search and monitor collection status without routine payment confirmation.</w:t>
            </w:r>
          </w:p>
        </w:tc>
      </w:tr>
    </w:tbl>
    <w:p>
      <w:pPr>
        <w:spacing w:after="20"/>
      </w:pPr>
    </w:p>
    <w:p>
      <w:pPr>
        <w:pStyle w:val="Heading1"/>
        <w:pageBreakBefore w:val="0"/>
      </w:pPr>
      <w:r>
        <w:t>5. Detailed Sub-Feature Review</w:t>
      </w:r>
    </w:p>
    <w:p>
      <w:pPr>
        <w:pStyle w:val="Heading2"/>
        <w:pageBreakBefore w:val="0"/>
      </w:pPr>
      <w:r>
        <w:t>FE-09.1 – View Payment Obligations and Outstanding Balances</w:t>
      </w:r>
    </w:p>
    <w:p>
      <w:r>
        <w:t>View invoice amounts, confirmed paid amounts, remaining balances, due dates, and permitted settlement information.</w:t>
      </w:r>
    </w:p>
    <w:p>
      <w:pPr>
        <w:pStyle w:val="Heading2"/>
        <w:pageBreakBefore w:val="0"/>
      </w:pPr>
      <w:r>
        <w:t>FE-09.2 – Submit or Initiate Payment</w:t>
      </w:r>
    </w:p>
    <w:p>
      <w:r>
        <w:t>Submit or initiate payment for an eligible invoice without marking it paid.</w:t>
      </w:r>
    </w:p>
    <w:p>
      <w:pPr>
        <w:pStyle w:val="Heading2"/>
        <w:pageBreakBefore w:val="0"/>
      </w:pPr>
      <w:r>
        <w:t>FE-09.3 – View Personal Payment History</w:t>
      </w:r>
    </w:p>
    <w:p>
      <w:r>
        <w:t>View permitted payment transactions and verification status.</w:t>
      </w:r>
    </w:p>
    <w:p>
      <w:pPr>
        <w:pStyle w:val="Heading2"/>
        <w:pageBreakBefore w:val="0"/>
      </w:pPr>
      <w:r>
        <w:t>FE-09.4 – Record Payment Transactions</w:t>
      </w:r>
    </w:p>
    <w:p>
      <w:r>
        <w:t>Record valid payment transactions and associate each with the appropriate invoice.</w:t>
      </w:r>
    </w:p>
    <w:p>
      <w:pPr>
        <w:pStyle w:val="Heading2"/>
        <w:pageBreakBefore w:val="0"/>
      </w:pPr>
      <w:r>
        <w:t>FE-09.5 – Review and Verify Payments</w:t>
      </w:r>
    </w:p>
    <w:p>
      <w:r>
        <w:t>Review payment details, invoice references, amounts, and supported evidence or references.</w:t>
      </w:r>
    </w:p>
    <w:p>
      <w:pPr>
        <w:pStyle w:val="Heading2"/>
        <w:pageBreakBefore w:val="0"/>
      </w:pPr>
      <w:r>
        <w:t>FE-09.6 – Confirm or Reject Payments</w:t>
      </w:r>
    </w:p>
    <w:p>
      <w:r>
        <w:t>Confirm valid payments or reject invalid transactions; only confirmed payments reduce balances.</w:t>
      </w:r>
    </w:p>
    <w:p>
      <w:pPr>
        <w:pStyle w:val="Heading2"/>
        <w:pageBreakBefore w:val="0"/>
      </w:pPr>
      <w:r>
        <w:t>FE-09.7 – Track Invoice Settlement and Outstanding Balance</w:t>
      </w:r>
    </w:p>
    <w:p>
      <w:r>
        <w:t>Monitor settlement and remaining balances based on confirmed payments.</w:t>
      </w:r>
    </w:p>
    <w:p>
      <w:pPr>
        <w:pStyle w:val="Heading2"/>
        <w:pageBreakBefore w:val="0"/>
      </w:pPr>
      <w:r>
        <w:t>FE-09.8 – Monitor Overdue Debts</w:t>
      </w:r>
    </w:p>
    <w:p>
      <w:r>
        <w:t>Identify and monitor invoices with remaining balances after the due date.</w:t>
      </w:r>
    </w:p>
    <w:p>
      <w:pPr>
        <w:pStyle w:val="Heading2"/>
        <w:pageBreakBefore w:val="0"/>
      </w:pPr>
      <w:r>
        <w:t>FE-09.9 – Search and Filter Payments and Debts</w:t>
      </w:r>
    </w:p>
    <w:p>
      <w:r>
        <w:t>Search and filter payment and debt records within the permitted financial scope.</w:t>
      </w:r>
    </w:p>
    <w:p>
      <w:pPr>
        <w:pStyle w:val="Heading2"/>
        <w:pageBreakBefore w:val="0"/>
      </w:pPr>
      <w:r>
        <w:t>FE-09.10 – Manage Payment and Debt Reminders</w:t>
      </w:r>
    </w:p>
    <w:p>
      <w:r>
        <w:t>Initiate approved reminders; FE-13 owns notification delivery.</w:t>
      </w:r>
    </w:p>
    <w:p>
      <w:pPr>
        <w:pStyle w:val="Heading2"/>
        <w:pageBreakBefore w:val="0"/>
      </w:pPr>
      <w:r>
        <w:t>FE-09.11 – View Payment and Debt Information</w:t>
      </w:r>
    </w:p>
    <w:p>
      <w:r>
        <w:t>View settlement, payment, outstanding-balance, and overdue information for oversight.</w:t>
      </w:r>
    </w:p>
    <w:p>
      <w:pPr>
        <w:pStyle w:val="Heading2"/>
        <w:pageBreakBefore w:val="0"/>
      </w:pPr>
      <w:r>
        <w:t>FE-09.12 – Search and Monitor Financial Collection Status</w:t>
      </w:r>
    </w:p>
    <w:p>
      <w:r>
        <w:t>Search and monitor collection status without routine payment confirmation.</w:t>
      </w:r>
    </w:p>
    <w:p>
      <w:r>
        <w:t>For FE-09.6, the UI must remain in a processing state until the backend confirms the authoritative result. A pending or rejected Payment never reduces the balance.</w:t>
      </w:r>
    </w:p>
    <w:p>
      <w:r>
        <w:t>For FE-09.10, FE-09 initiates an approved reminder action or event. FE-13 remains responsible for notification delivery.</w:t>
      </w:r>
    </w:p>
    <w:p>
      <w:pPr>
        <w:pStyle w:val="Heading1"/>
        <w:pageBreakBefore w:val="0"/>
      </w:pPr>
      <w:r>
        <w:t>6. Domain Relationship Baseline</w:t>
      </w:r>
    </w:p>
    <w:p>
      <w:pPr>
        <w:spacing w:before="80" w:after="160"/>
        <w:jc w:val="center"/>
      </w:pPr>
      <w:r>
        <w:rPr>
          <w:rFonts w:ascii="Consolas" w:hAnsi="Consolas"/>
          <w:sz w:val="18"/>
        </w:rPr>
        <w:t>FE-08 Invoice 1 → N FE-09 Payments</w:t>
        <w:br/>
        <w:t>Confirmed Payments → Settlement Status and Outstanding Balance</w:t>
        <w:br/>
        <w:t>Outstanding Balance after Due Date → Overdue Obligation</w:t>
      </w:r>
    </w:p>
    <w:p>
      <w:r>
        <w:t>Each Payment belongs to one Invoice in the baseline. One Invoice may have multiple Payments to support partial payment. Refund, credit-balance, overpayment, and multi-invoice allocation remain outside the baseline.</w:t>
      </w:r>
    </w:p>
    <w:p>
      <w:pPr>
        <w:pStyle w:val="Heading1"/>
        <w:pageBreakBefore w:val="0"/>
      </w:pPr>
      <w:r>
        <w:t>7. Authentication, Authorization, and Business-Scope Checks</w:t>
      </w:r>
    </w:p>
    <w:p>
      <w:r>
        <w:t>FE-01 Authentication → Authenticated Identity → FE-15 Fixed Role and Permissions → FE-09 Business-Scope Check → Allow or Deny</w:t>
      </w:r>
    </w:p>
    <w:p>
      <w:r>
        <w:t>UI visibility does not replace server authorization. Resident access must validate the permitted apartment context. Accountant and Manager access must remain within their approved financial or management scope. Payment confirmation requires authorized Accountant access and server-side business validation.</w:t>
      </w:r>
    </w:p>
    <w:p>
      <w:pPr>
        <w:pStyle w:val="Heading1"/>
        <w:pageBreakBefore w:val="0"/>
      </w:pPr>
      <w:r>
        <w:t>8. Actor × Sub-Feature Matrix</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val="true"/>
        </w:trPr>
        <w:tc>
          <w:tcPr>
            <w:tcW w:type="dxa" w:w="4608"/>
            <w:shd w:fill="1F4E78"/>
            <w:vAlign w:val="center"/>
            <w:tcMar>
              <w:top w:w="90" w:type="dxa"/>
              <w:start w:w="100" w:type="dxa"/>
              <w:bottom w:w="90" w:type="dxa"/>
              <w:end w:w="100" w:type="dxa"/>
            </w:tcMar>
          </w:tcPr>
          <w:p>
            <w:pPr>
              <w:jc w:val="center"/>
            </w:pPr>
            <w:r>
              <w:rPr>
                <w:rFonts w:ascii="Arial" w:hAnsi="Arial"/>
                <w:b/>
                <w:color w:val="FFFFFF"/>
                <w:sz w:val="14"/>
              </w:rPr>
              <w:t>Sub-Feature</w:t>
            </w:r>
          </w:p>
        </w:tc>
        <w:tc>
          <w:tcPr>
            <w:tcW w:type="dxa" w:w="1080"/>
            <w:shd w:fill="1F4E78"/>
            <w:vAlign w:val="center"/>
            <w:tcMar>
              <w:top w:w="90" w:type="dxa"/>
              <w:start w:w="100" w:type="dxa"/>
              <w:bottom w:w="90" w:type="dxa"/>
              <w:end w:w="100" w:type="dxa"/>
            </w:tcMar>
          </w:tcPr>
          <w:p>
            <w:pPr>
              <w:jc w:val="center"/>
            </w:pPr>
            <w:r>
              <w:rPr>
                <w:rFonts w:ascii="Arial" w:hAnsi="Arial"/>
                <w:b/>
                <w:color w:val="FFFFFF"/>
                <w:sz w:val="14"/>
              </w:rPr>
              <w:t>Resident</w:t>
            </w:r>
          </w:p>
        </w:tc>
        <w:tc>
          <w:tcPr>
            <w:tcW w:type="dxa" w:w="864"/>
            <w:shd w:fill="1F4E78"/>
            <w:vAlign w:val="center"/>
            <w:tcMar>
              <w:top w:w="90" w:type="dxa"/>
              <w:start w:w="100" w:type="dxa"/>
              <w:bottom w:w="90" w:type="dxa"/>
              <w:end w:w="100" w:type="dxa"/>
            </w:tcMar>
          </w:tcPr>
          <w:p>
            <w:pPr>
              <w:jc w:val="center"/>
            </w:pPr>
            <w:r>
              <w:rPr>
                <w:rFonts w:ascii="Arial" w:hAnsi="Arial"/>
                <w:b/>
                <w:color w:val="FFFFFF"/>
                <w:sz w:val="14"/>
              </w:rPr>
              <w:t>Staff</w:t>
            </w:r>
          </w:p>
        </w:tc>
        <w:tc>
          <w:tcPr>
            <w:tcW w:type="dxa" w:w="1224"/>
            <w:shd w:fill="1F4E78"/>
            <w:vAlign w:val="center"/>
            <w:tcMar>
              <w:top w:w="90" w:type="dxa"/>
              <w:start w:w="100" w:type="dxa"/>
              <w:bottom w:w="90" w:type="dxa"/>
              <w:end w:w="100" w:type="dxa"/>
            </w:tcMar>
          </w:tcPr>
          <w:p>
            <w:pPr>
              <w:jc w:val="center"/>
            </w:pPr>
            <w:r>
              <w:rPr>
                <w:rFonts w:ascii="Arial" w:hAnsi="Arial"/>
                <w:b/>
                <w:color w:val="FFFFFF"/>
                <w:sz w:val="14"/>
              </w:rPr>
              <w:t>Accountant</w:t>
            </w:r>
          </w:p>
        </w:tc>
        <w:tc>
          <w:tcPr>
            <w:tcW w:type="dxa" w:w="1080"/>
            <w:shd w:fill="1F4E78"/>
            <w:vAlign w:val="center"/>
            <w:tcMar>
              <w:top w:w="90" w:type="dxa"/>
              <w:start w:w="100" w:type="dxa"/>
              <w:bottom w:w="90" w:type="dxa"/>
              <w:end w:w="100" w:type="dxa"/>
            </w:tcMar>
          </w:tcPr>
          <w:p>
            <w:pPr>
              <w:jc w:val="center"/>
            </w:pPr>
            <w:r>
              <w:rPr>
                <w:rFonts w:ascii="Arial" w:hAnsi="Arial"/>
                <w:b/>
                <w:color w:val="FFFFFF"/>
                <w:sz w:val="14"/>
              </w:rPr>
              <w:t>Manager</w:t>
            </w:r>
          </w:p>
        </w:tc>
        <w:tc>
          <w:tcPr>
            <w:tcW w:type="dxa" w:w="936"/>
            <w:shd w:fill="1F4E78"/>
            <w:vAlign w:val="center"/>
            <w:tcMar>
              <w:top w:w="90" w:type="dxa"/>
              <w:start w:w="100" w:type="dxa"/>
              <w:bottom w:w="90" w:type="dxa"/>
              <w:end w:w="100" w:type="dxa"/>
            </w:tcMar>
          </w:tcPr>
          <w:p>
            <w:pPr>
              <w:jc w:val="center"/>
            </w:pPr>
            <w:r>
              <w:rPr>
                <w:rFonts w:ascii="Arial" w:hAnsi="Arial"/>
                <w:b/>
                <w:color w:val="FFFFFF"/>
                <w:sz w:val="14"/>
              </w:rPr>
              <w:t>Admin</w:t>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FE-09.1 View Payment Obligations and Outstanding Balances</w:t>
            </w:r>
          </w:p>
        </w:tc>
        <w:tc>
          <w:tcPr>
            <w:tcW w:type="dxa" w:w="1080"/>
            <w:vAlign w:val="center"/>
            <w:tcMar>
              <w:top w:w="90" w:type="dxa"/>
              <w:start w:w="100" w:type="dxa"/>
              <w:bottom w:w="90" w:type="dxa"/>
              <w:end w:w="100" w:type="dxa"/>
            </w:tcMar>
          </w:tcPr>
          <w:p>
            <w:pPr>
              <w:spacing w:after="0"/>
              <w:jc w:val="left"/>
            </w:pPr>
            <w:r>
              <w:rPr>
                <w:rFonts w:ascii="Arial" w:hAnsi="Arial"/>
                <w:sz w:val="14"/>
              </w:rPr>
              <w:t>✓</w:t>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FE-09.2 Submit or Initiate Payment</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FE-09.3 View Personal Payment History</w:t>
            </w:r>
          </w:p>
        </w:tc>
        <w:tc>
          <w:tcPr>
            <w:tcW w:type="dxa" w:w="1080"/>
            <w:vAlign w:val="center"/>
            <w:tcMar>
              <w:top w:w="90" w:type="dxa"/>
              <w:start w:w="100" w:type="dxa"/>
              <w:bottom w:w="90" w:type="dxa"/>
              <w:end w:w="100" w:type="dxa"/>
            </w:tcMar>
          </w:tcPr>
          <w:p>
            <w:pPr>
              <w:spacing w:after="0"/>
              <w:jc w:val="left"/>
            </w:pPr>
            <w:r>
              <w:rPr>
                <w:rFonts w:ascii="Arial" w:hAnsi="Arial"/>
                <w:sz w:val="14"/>
              </w:rPr>
              <w:t>✓</w:t>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FE-09.4 Record Payment Transactions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FE-09.5 Review and Verify Payments</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t>✓</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FE-09.6 Confirm or Reject Payments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FE-09.7 Track Invoice Settlement and Outstanding Balance</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t>✓</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FE-09.8 Monitor Overdue Debts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FE-09.9 Search and Filter Payments and Debts</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t>✓</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FE-09.10 Manage Payment and Debt Reminders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tcPr>
          <w:p>
            <w:pPr>
              <w:spacing w:after="0"/>
              <w:jc w:val="center"/>
            </w:pPr>
            <w:r>
              <w:rPr>
                <w:rFonts w:ascii="Arial" w:hAnsi="Arial"/>
                <w:sz w:val="14"/>
              </w:rPr>
              <w:t>FE-09.11 View Payment and Debt Information</w:t>
            </w:r>
          </w:p>
        </w:tc>
        <w:tc>
          <w:tcPr>
            <w:tcW w:type="dxa" w:w="1080"/>
            <w:vAlign w:val="center"/>
            <w:tcMar>
              <w:top w:w="90" w:type="dxa"/>
              <w:start w:w="100" w:type="dxa"/>
              <w:bottom w:w="90" w:type="dxa"/>
              <w:end w:w="100" w:type="dxa"/>
            </w:tcMar>
          </w:tcPr>
          <w:p>
            <w:pPr>
              <w:spacing w:after="0"/>
              <w:jc w:val="left"/>
            </w:pPr>
            <w:r>
              <w:rPr>
                <w:rFonts w:ascii="Arial" w:hAnsi="Arial"/>
                <w:sz w:val="14"/>
              </w:rPr>
            </w:r>
          </w:p>
        </w:tc>
        <w:tc>
          <w:tcPr>
            <w:tcW w:type="dxa" w:w="864"/>
            <w:vAlign w:val="center"/>
            <w:tcMar>
              <w:top w:w="90" w:type="dxa"/>
              <w:start w:w="100" w:type="dxa"/>
              <w:bottom w:w="90" w:type="dxa"/>
              <w:end w:w="100" w:type="dxa"/>
            </w:tcMar>
          </w:tcPr>
          <w:p>
            <w:pPr>
              <w:spacing w:after="0"/>
              <w:jc w:val="left"/>
            </w:pPr>
            <w:r>
              <w:rPr>
                <w:rFonts w:ascii="Arial" w:hAnsi="Arial"/>
                <w:sz w:val="14"/>
              </w:rPr>
            </w:r>
          </w:p>
        </w:tc>
        <w:tc>
          <w:tcPr>
            <w:tcW w:type="dxa" w:w="1224"/>
            <w:vAlign w:val="center"/>
            <w:tcMar>
              <w:top w:w="90" w:type="dxa"/>
              <w:start w:w="100" w:type="dxa"/>
              <w:bottom w:w="90" w:type="dxa"/>
              <w:end w:w="100" w:type="dxa"/>
            </w:tcMar>
          </w:tcPr>
          <w:p>
            <w:pPr>
              <w:spacing w:after="0"/>
              <w:jc w:val="left"/>
            </w:pPr>
            <w:r>
              <w:rPr>
                <w:rFonts w:ascii="Arial" w:hAnsi="Arial"/>
                <w:sz w:val="14"/>
              </w:rPr>
            </w:r>
          </w:p>
        </w:tc>
        <w:tc>
          <w:tcPr>
            <w:tcW w:type="dxa" w:w="1080"/>
            <w:vAlign w:val="center"/>
            <w:tcMar>
              <w:top w:w="90" w:type="dxa"/>
              <w:start w:w="100" w:type="dxa"/>
              <w:bottom w:w="90" w:type="dxa"/>
              <w:end w:w="100" w:type="dxa"/>
            </w:tcMar>
          </w:tcPr>
          <w:p>
            <w:pPr>
              <w:spacing w:after="0"/>
              <w:jc w:val="left"/>
            </w:pPr>
            <w:r>
              <w:rPr>
                <w:rFonts w:ascii="Arial" w:hAnsi="Arial"/>
                <w:sz w:val="14"/>
              </w:rPr>
              <w:t>✓</w:t>
            </w:r>
          </w:p>
        </w:tc>
        <w:tc>
          <w:tcPr>
            <w:tcW w:type="dxa" w:w="936"/>
            <w:vAlign w:val="center"/>
            <w:tcMar>
              <w:top w:w="90" w:type="dxa"/>
              <w:start w:w="100" w:type="dxa"/>
              <w:bottom w:w="90" w:type="dxa"/>
              <w:end w:w="100" w:type="dxa"/>
            </w:tcMar>
          </w:tcPr>
          <w:p>
            <w:pPr>
              <w:spacing w:after="0"/>
              <w:jc w:val="left"/>
            </w:pPr>
            <w:r>
              <w:rPr>
                <w:rFonts w:ascii="Arial" w:hAnsi="Arial"/>
                <w:sz w:val="14"/>
              </w:rPr>
            </w:r>
          </w:p>
        </w:tc>
      </w:tr>
      <w:tr>
        <w:trPr>
          <w:cantSplit w:val="true"/>
        </w:trPr>
        <w:tc>
          <w:tcPr>
            <w:tcW w:type="dxa" w:w="4608"/>
            <w:vAlign w:val="center"/>
            <w:tcMar>
              <w:top w:w="90" w:type="dxa"/>
              <w:start w:w="100" w:type="dxa"/>
              <w:bottom w:w="90" w:type="dxa"/>
              <w:end w:w="100" w:type="dxa"/>
            </w:tcMar>
            <w:shd w:fill="EAF2F8"/>
          </w:tcPr>
          <w:p>
            <w:pPr>
              <w:spacing w:after="0"/>
              <w:jc w:val="center"/>
            </w:pPr>
            <w:r>
              <w:rPr>
                <w:rFonts w:ascii="Arial" w:hAnsi="Arial"/>
                <w:sz w:val="14"/>
              </w:rPr>
              <w:t>FE-09.12 Search and Monitor Financial Collection Status</w:t>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r>
          </w:p>
        </w:tc>
        <w:tc>
          <w:tcPr>
            <w:tcW w:type="dxa" w:w="864"/>
            <w:vAlign w:val="center"/>
            <w:tcMar>
              <w:top w:w="90" w:type="dxa"/>
              <w:start w:w="100" w:type="dxa"/>
              <w:bottom w:w="90" w:type="dxa"/>
              <w:end w:w="100" w:type="dxa"/>
            </w:tcMar>
            <w:shd w:fill="EAF2F8"/>
          </w:tcPr>
          <w:p>
            <w:pPr>
              <w:spacing w:after="0"/>
              <w:jc w:val="left"/>
            </w:pPr>
            <w:r>
              <w:rPr>
                <w:rFonts w:ascii="Arial" w:hAnsi="Arial"/>
                <w:sz w:val="14"/>
              </w:rPr>
            </w:r>
          </w:p>
        </w:tc>
        <w:tc>
          <w:tcPr>
            <w:tcW w:type="dxa" w:w="1224"/>
            <w:vAlign w:val="center"/>
            <w:tcMar>
              <w:top w:w="90" w:type="dxa"/>
              <w:start w:w="100" w:type="dxa"/>
              <w:bottom w:w="90" w:type="dxa"/>
              <w:end w:w="100" w:type="dxa"/>
            </w:tcMar>
            <w:shd w:fill="EAF2F8"/>
          </w:tcPr>
          <w:p>
            <w:pPr>
              <w:spacing w:after="0"/>
              <w:jc w:val="left"/>
            </w:pPr>
            <w:r>
              <w:rPr>
                <w:rFonts w:ascii="Arial" w:hAnsi="Arial"/>
                <w:sz w:val="14"/>
              </w:rPr>
            </w:r>
          </w:p>
        </w:tc>
        <w:tc>
          <w:tcPr>
            <w:tcW w:type="dxa" w:w="1080"/>
            <w:vAlign w:val="center"/>
            <w:tcMar>
              <w:top w:w="90" w:type="dxa"/>
              <w:start w:w="100" w:type="dxa"/>
              <w:bottom w:w="90" w:type="dxa"/>
              <w:end w:w="100" w:type="dxa"/>
            </w:tcMar>
            <w:shd w:fill="EAF2F8"/>
          </w:tcPr>
          <w:p>
            <w:pPr>
              <w:spacing w:after="0"/>
              <w:jc w:val="left"/>
            </w:pPr>
            <w:r>
              <w:rPr>
                <w:rFonts w:ascii="Arial" w:hAnsi="Arial"/>
                <w:sz w:val="14"/>
              </w:rPr>
              <w:t>✓</w:t>
            </w:r>
          </w:p>
        </w:tc>
        <w:tc>
          <w:tcPr>
            <w:tcW w:type="dxa" w:w="936"/>
            <w:vAlign w:val="center"/>
            <w:tcMar>
              <w:top w:w="90" w:type="dxa"/>
              <w:start w:w="100" w:type="dxa"/>
              <w:bottom w:w="90" w:type="dxa"/>
              <w:end w:w="100" w:type="dxa"/>
            </w:tcMar>
            <w:shd w:fill="EAF2F8"/>
          </w:tcPr>
          <w:p>
            <w:pPr>
              <w:spacing w:after="0"/>
              <w:jc w:val="left"/>
            </w:pPr>
            <w:r>
              <w:rPr>
                <w:rFonts w:ascii="Arial" w:hAnsi="Arial"/>
                <w:sz w:val="14"/>
              </w:rPr>
            </w:r>
          </w:p>
        </w:tc>
      </w:tr>
    </w:tbl>
    <w:p>
      <w:pPr>
        <w:spacing w:after="20"/>
      </w:pPr>
    </w:p>
    <w:p>
      <w:pPr>
        <w:pStyle w:val="Heading1"/>
        <w:pageBreakBefore w:val="0"/>
      </w:pPr>
      <w:r>
        <w:t>9. Main Workflows</w:t>
      </w:r>
    </w:p>
    <w:p>
      <w:pPr>
        <w:pStyle w:val="Heading2"/>
        <w:pageBreakBefore w:val="0"/>
      </w:pPr>
      <w:r>
        <w:t>9.1 Payment Submission and Verification</w:t>
      </w:r>
    </w:p>
    <w:p>
      <w:pPr>
        <w:spacing w:before="80" w:after="160"/>
        <w:jc w:val="center"/>
      </w:pPr>
      <w:r>
        <w:rPr>
          <w:rFonts w:ascii="Consolas" w:hAnsi="Consolas"/>
          <w:sz w:val="18"/>
        </w:rPr>
        <w:t>Resident Submits or Accountant Records Payment → Payment Pending → Accountant Reviews → Reject Invalid Payment or Confirm Valid Payment → Server Recalculates Settlement</w:t>
      </w:r>
    </w:p>
    <w:p>
      <w:pPr>
        <w:pStyle w:val="Heading2"/>
        <w:pageBreakBefore w:val="0"/>
      </w:pPr>
      <w:r>
        <w:t>9.2 Overdue Debt Monitoring</w:t>
      </w:r>
    </w:p>
    <w:p>
      <w:pPr>
        <w:spacing w:before="80" w:after="160"/>
        <w:jc w:val="center"/>
      </w:pPr>
      <w:r>
        <w:rPr>
          <w:rFonts w:ascii="Consolas" w:hAnsi="Consolas"/>
          <w:sz w:val="18"/>
        </w:rPr>
        <w:t>Issued Invoice → Outstanding Balance Greater Than Zero → Due Date Passes → Overdue Obligation → Accountant Monitors or Initiates Reminder → FE-13 Delivers Notification</w:t>
      </w:r>
    </w:p>
    <w:p>
      <w:pPr>
        <w:pStyle w:val="Heading2"/>
        <w:pageBreakBefore w:val="0"/>
      </w:pPr>
      <w:r>
        <w:t>9.3 Manager Monitoring</w:t>
      </w:r>
    </w:p>
    <w:p>
      <w:pPr>
        <w:spacing w:before="80" w:after="160"/>
        <w:jc w:val="center"/>
      </w:pPr>
      <w:r>
        <w:rPr>
          <w:rFonts w:ascii="Consolas" w:hAnsi="Consolas"/>
          <w:sz w:val="18"/>
        </w:rPr>
        <w:t>Manager Authenticates → Fixed Authorization → Business-Scope Check → Read-Only Payment and Collection Monitoring</w:t>
      </w:r>
    </w:p>
    <w:p>
      <w:pPr>
        <w:pStyle w:val="Heading1"/>
        <w:pageBreakBefore w:val="0"/>
      </w:pPr>
      <w:r>
        <w:t>10. Feature Boundaries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3384"/>
            <w:shd w:fill="1F4E78"/>
            <w:vAlign w:val="center"/>
            <w:tcMar>
              <w:top w:w="90" w:type="dxa"/>
              <w:start w:w="100" w:type="dxa"/>
              <w:bottom w:w="90" w:type="dxa"/>
              <w:end w:w="100" w:type="dxa"/>
            </w:tcMar>
          </w:tcPr>
          <w:p>
            <w:pPr>
              <w:jc w:val="center"/>
            </w:pPr>
            <w:r>
              <w:rPr>
                <w:rFonts w:ascii="Arial" w:hAnsi="Arial"/>
                <w:b/>
                <w:color w:val="FFFFFF"/>
                <w:sz w:val="16"/>
              </w:rPr>
              <w:t>Related Feature</w:t>
            </w:r>
          </w:p>
        </w:tc>
        <w:tc>
          <w:tcPr>
            <w:tcW w:type="dxa" w:w="6696"/>
            <w:shd w:fill="1F4E78"/>
            <w:vAlign w:val="center"/>
            <w:tcMar>
              <w:top w:w="90" w:type="dxa"/>
              <w:start w:w="100" w:type="dxa"/>
              <w:bottom w:w="90" w:type="dxa"/>
              <w:end w:w="100" w:type="dxa"/>
            </w:tcMar>
          </w:tcPr>
          <w:p>
            <w:pPr>
              <w:jc w:val="center"/>
            </w:pPr>
            <w:r>
              <w:rPr>
                <w:rFonts w:ascii="Arial" w:hAnsi="Arial"/>
                <w:b/>
                <w:color w:val="FFFFFF"/>
                <w:sz w:val="16"/>
              </w:rPr>
              <w:t>Boundary with FE-09</w:t>
            </w:r>
          </w:p>
        </w:tc>
      </w:tr>
      <w:tr>
        <w:trPr>
          <w:cantSplit w:val="true"/>
        </w:trPr>
        <w:tc>
          <w:tcPr>
            <w:tcW w:type="dxa" w:w="3384"/>
            <w:vAlign w:val="center"/>
            <w:tcMar>
              <w:top w:w="90" w:type="dxa"/>
              <w:start w:w="100" w:type="dxa"/>
              <w:bottom w:w="90" w:type="dxa"/>
              <w:end w:w="100" w:type="dxa"/>
            </w:tcMar>
          </w:tcPr>
          <w:p>
            <w:pPr>
              <w:spacing w:after="0"/>
              <w:jc w:val="left"/>
            </w:pPr>
            <w:r>
              <w:rPr>
                <w:rFonts w:ascii="Arial" w:hAnsi="Arial"/>
                <w:sz w:val="16"/>
              </w:rPr>
              <w:t>FE-01 Authentication and Account Management</w:t>
            </w:r>
          </w:p>
        </w:tc>
        <w:tc>
          <w:tcPr>
            <w:tcW w:type="dxa" w:w="6696"/>
            <w:vAlign w:val="center"/>
            <w:tcMar>
              <w:top w:w="90" w:type="dxa"/>
              <w:start w:w="100" w:type="dxa"/>
              <w:bottom w:w="90" w:type="dxa"/>
              <w:end w:w="100" w:type="dxa"/>
            </w:tcMar>
          </w:tcPr>
          <w:p>
            <w:pPr>
              <w:spacing w:after="0"/>
              <w:jc w:val="left"/>
            </w:pPr>
            <w:r>
              <w:rPr>
                <w:rFonts w:ascii="Arial" w:hAnsi="Arial"/>
                <w:sz w:val="16"/>
              </w:rPr>
              <w:t>Authenticates users; FE-09 does not manage credentials or sessions.</w:t>
            </w:r>
          </w:p>
        </w:tc>
      </w:tr>
      <w:tr>
        <w:trPr>
          <w:cantSplit w:val="true"/>
        </w:trPr>
        <w:tc>
          <w:tcPr>
            <w:tcW w:type="dxa" w:w="3384"/>
            <w:vAlign w:val="center"/>
            <w:tcMar>
              <w:top w:w="90" w:type="dxa"/>
              <w:start w:w="100" w:type="dxa"/>
              <w:bottom w:w="90" w:type="dxa"/>
              <w:end w:w="100" w:type="dxa"/>
            </w:tcMar>
            <w:shd w:fill="EAF2F8"/>
          </w:tcPr>
          <w:p>
            <w:pPr>
              <w:spacing w:after="0"/>
              <w:jc w:val="left"/>
            </w:pPr>
            <w:r>
              <w:rPr>
                <w:rFonts w:ascii="Arial" w:hAnsi="Arial"/>
                <w:sz w:val="16"/>
              </w:rPr>
              <w:t>FE-02 Resident Management</w:t>
            </w:r>
          </w:p>
        </w:tc>
        <w:tc>
          <w:tcPr>
            <w:tcW w:type="dxa" w:w="6696"/>
            <w:vAlign w:val="center"/>
            <w:tcMar>
              <w:top w:w="90" w:type="dxa"/>
              <w:start w:w="100" w:type="dxa"/>
              <w:bottom w:w="90" w:type="dxa"/>
              <w:end w:w="100" w:type="dxa"/>
            </w:tcMar>
            <w:shd w:fill="EAF2F8"/>
          </w:tcPr>
          <w:p>
            <w:pPr>
              <w:spacing w:after="0"/>
              <w:jc w:val="left"/>
            </w:pPr>
            <w:r>
              <w:rPr>
                <w:rFonts w:ascii="Arial" w:hAnsi="Arial"/>
                <w:sz w:val="16"/>
              </w:rPr>
              <w:t>Owns Resident data and Resident–Apartment relationships used to determine permitted Resident access.</w:t>
            </w:r>
          </w:p>
        </w:tc>
      </w:tr>
      <w:tr>
        <w:trPr>
          <w:cantSplit w:val="true"/>
        </w:trPr>
        <w:tc>
          <w:tcPr>
            <w:tcW w:type="dxa" w:w="3384"/>
            <w:vAlign w:val="center"/>
            <w:tcMar>
              <w:top w:w="90" w:type="dxa"/>
              <w:start w:w="100" w:type="dxa"/>
              <w:bottom w:w="90" w:type="dxa"/>
              <w:end w:w="100" w:type="dxa"/>
            </w:tcMar>
          </w:tcPr>
          <w:p>
            <w:pPr>
              <w:spacing w:after="0"/>
              <w:jc w:val="left"/>
            </w:pPr>
            <w:r>
              <w:rPr>
                <w:rFonts w:ascii="Arial" w:hAnsi="Arial"/>
                <w:sz w:val="16"/>
              </w:rPr>
              <w:t>FE-03 Apartment Unit Management</w:t>
            </w:r>
          </w:p>
        </w:tc>
        <w:tc>
          <w:tcPr>
            <w:tcW w:type="dxa" w:w="6696"/>
            <w:vAlign w:val="center"/>
            <w:tcMar>
              <w:top w:w="90" w:type="dxa"/>
              <w:start w:w="100" w:type="dxa"/>
              <w:bottom w:w="90" w:type="dxa"/>
              <w:end w:w="100" w:type="dxa"/>
            </w:tcMar>
          </w:tcPr>
          <w:p>
            <w:pPr>
              <w:spacing w:after="0"/>
              <w:jc w:val="left"/>
            </w:pPr>
            <w:r>
              <w:rPr>
                <w:rFonts w:ascii="Arial" w:hAnsi="Arial"/>
                <w:sz w:val="16"/>
              </w:rPr>
              <w:t>Owns Apartment master data; FE-09 uses apartment context without modifying it.</w:t>
            </w:r>
          </w:p>
        </w:tc>
      </w:tr>
      <w:tr>
        <w:trPr>
          <w:cantSplit w:val="true"/>
        </w:trPr>
        <w:tc>
          <w:tcPr>
            <w:tcW w:type="dxa" w:w="3384"/>
            <w:vAlign w:val="center"/>
            <w:tcMar>
              <w:top w:w="90" w:type="dxa"/>
              <w:start w:w="100" w:type="dxa"/>
              <w:bottom w:w="90" w:type="dxa"/>
              <w:end w:w="100" w:type="dxa"/>
            </w:tcMar>
            <w:shd w:fill="EAF2F8"/>
          </w:tcPr>
          <w:p>
            <w:pPr>
              <w:spacing w:after="0"/>
              <w:jc w:val="left"/>
            </w:pPr>
            <w:r>
              <w:rPr>
                <w:rFonts w:ascii="Arial" w:hAnsi="Arial"/>
                <w:sz w:val="16"/>
              </w:rPr>
              <w:t>FE-08 Fee and Invoice Management</w:t>
            </w:r>
          </w:p>
        </w:tc>
        <w:tc>
          <w:tcPr>
            <w:tcW w:type="dxa" w:w="6696"/>
            <w:vAlign w:val="center"/>
            <w:tcMar>
              <w:top w:w="90" w:type="dxa"/>
              <w:start w:w="100" w:type="dxa"/>
              <w:bottom w:w="90" w:type="dxa"/>
              <w:end w:w="100" w:type="dxa"/>
            </w:tcMar>
            <w:shd w:fill="EAF2F8"/>
          </w:tcPr>
          <w:p>
            <w:pPr>
              <w:spacing w:after="0"/>
              <w:jc w:val="left"/>
            </w:pPr>
            <w:r>
              <w:rPr>
                <w:rFonts w:ascii="Arial" w:hAnsi="Arial"/>
                <w:sz w:val="16"/>
              </w:rPr>
              <w:t>Owns fee configuration, invoice charges, total, due date, and invoice lifecycle. FE-09 does not change invoice charges.</w:t>
            </w:r>
          </w:p>
        </w:tc>
      </w:tr>
      <w:tr>
        <w:trPr>
          <w:cantSplit w:val="true"/>
        </w:trPr>
        <w:tc>
          <w:tcPr>
            <w:tcW w:type="dxa" w:w="3384"/>
            <w:vAlign w:val="center"/>
            <w:tcMar>
              <w:top w:w="90" w:type="dxa"/>
              <w:start w:w="100" w:type="dxa"/>
              <w:bottom w:w="90" w:type="dxa"/>
              <w:end w:w="100" w:type="dxa"/>
            </w:tcMar>
          </w:tcPr>
          <w:p>
            <w:pPr>
              <w:spacing w:after="0"/>
              <w:jc w:val="left"/>
            </w:pPr>
            <w:r>
              <w:rPr>
                <w:rFonts w:ascii="Arial" w:hAnsi="Arial"/>
                <w:sz w:val="16"/>
              </w:rPr>
              <w:t>FE-13 Notification and Announcement Management</w:t>
            </w:r>
          </w:p>
        </w:tc>
        <w:tc>
          <w:tcPr>
            <w:tcW w:type="dxa" w:w="6696"/>
            <w:vAlign w:val="center"/>
            <w:tcMar>
              <w:top w:w="90" w:type="dxa"/>
              <w:start w:w="100" w:type="dxa"/>
              <w:bottom w:w="90" w:type="dxa"/>
              <w:end w:w="100" w:type="dxa"/>
            </w:tcMar>
          </w:tcPr>
          <w:p>
            <w:pPr>
              <w:spacing w:after="0"/>
              <w:jc w:val="left"/>
            </w:pPr>
            <w:r>
              <w:rPr>
                <w:rFonts w:ascii="Arial" w:hAnsi="Arial"/>
                <w:sz w:val="16"/>
              </w:rPr>
              <w:t>Delivers payment and debt notifications initiated from FE-09 events or reminder actions.</w:t>
            </w:r>
          </w:p>
        </w:tc>
      </w:tr>
      <w:tr>
        <w:trPr>
          <w:cantSplit w:val="true"/>
        </w:trPr>
        <w:tc>
          <w:tcPr>
            <w:tcW w:type="dxa" w:w="3384"/>
            <w:vAlign w:val="center"/>
            <w:tcMar>
              <w:top w:w="90" w:type="dxa"/>
              <w:start w:w="100" w:type="dxa"/>
              <w:bottom w:w="90" w:type="dxa"/>
              <w:end w:w="100" w:type="dxa"/>
            </w:tcMar>
            <w:shd w:fill="EAF2F8"/>
          </w:tcPr>
          <w:p>
            <w:pPr>
              <w:spacing w:after="0"/>
              <w:jc w:val="left"/>
            </w:pPr>
            <w:r>
              <w:rPr>
                <w:rFonts w:ascii="Arial" w:hAnsi="Arial"/>
                <w:sz w:val="16"/>
              </w:rPr>
              <w:t>FE-14 Dashboards Reports and Operational Analytics</w:t>
            </w:r>
          </w:p>
        </w:tc>
        <w:tc>
          <w:tcPr>
            <w:tcW w:type="dxa" w:w="6696"/>
            <w:vAlign w:val="center"/>
            <w:tcMar>
              <w:top w:w="90" w:type="dxa"/>
              <w:start w:w="100" w:type="dxa"/>
              <w:bottom w:w="90" w:type="dxa"/>
              <w:end w:w="100" w:type="dxa"/>
            </w:tcMar>
            <w:shd w:fill="EAF2F8"/>
          </w:tcPr>
          <w:p>
            <w:pPr>
              <w:spacing w:after="0"/>
              <w:jc w:val="left"/>
            </w:pPr>
            <w:r>
              <w:rPr>
                <w:rFonts w:ascii="Arial" w:hAnsi="Arial"/>
                <w:sz w:val="16"/>
              </w:rPr>
              <w:t>Aggregates financial information; FE-09 remains the source of payment, settlement, and debt records.</w:t>
            </w:r>
          </w:p>
        </w:tc>
      </w:tr>
      <w:tr>
        <w:trPr>
          <w:cantSplit w:val="true"/>
        </w:trPr>
        <w:tc>
          <w:tcPr>
            <w:tcW w:type="dxa" w:w="3384"/>
            <w:vAlign w:val="center"/>
            <w:tcMar>
              <w:top w:w="90" w:type="dxa"/>
              <w:start w:w="100" w:type="dxa"/>
              <w:bottom w:w="90" w:type="dxa"/>
              <w:end w:w="100" w:type="dxa"/>
            </w:tcMar>
          </w:tcPr>
          <w:p>
            <w:pPr>
              <w:spacing w:after="0"/>
              <w:jc w:val="left"/>
            </w:pPr>
            <w:r>
              <w:rPr>
                <w:rFonts w:ascii="Arial" w:hAnsi="Arial"/>
                <w:sz w:val="16"/>
              </w:rPr>
              <w:t>FE-15 System Administration and RBAC</w:t>
            </w:r>
          </w:p>
        </w:tc>
        <w:tc>
          <w:tcPr>
            <w:tcW w:type="dxa" w:w="6696"/>
            <w:vAlign w:val="center"/>
            <w:tcMar>
              <w:top w:w="90" w:type="dxa"/>
              <w:start w:w="100" w:type="dxa"/>
              <w:bottom w:w="90" w:type="dxa"/>
              <w:end w:w="100" w:type="dxa"/>
            </w:tcMar>
          </w:tcPr>
          <w:p>
            <w:pPr>
              <w:spacing w:after="0"/>
              <w:jc w:val="left"/>
            </w:pPr>
            <w:r>
              <w:rPr>
                <w:rFonts w:ascii="Arial" w:hAnsi="Arial"/>
                <w:sz w:val="16"/>
              </w:rPr>
              <w:t>Owns internal-account administration and fixed access control; FE-09 applies financial business-scope checks.</w:t>
            </w:r>
          </w:p>
        </w:tc>
      </w:tr>
    </w:tbl>
    <w:p>
      <w:pPr>
        <w:spacing w:after="20"/>
      </w:pPr>
    </w:p>
    <w:p>
      <w:pPr>
        <w:pStyle w:val="Heading1"/>
        <w:pageBreakBefore w:val="0"/>
      </w:pPr>
      <w:r>
        <w:t>11. Business Rules</w:t>
      </w:r>
    </w:p>
    <w:p>
      <w:pPr>
        <w:pStyle w:val="ListBullet"/>
      </w:pPr>
      <w:r>
        <w:t>BR-09.1 Each Payment is associated with one eligible Invoice in the baseline; one Invoice may have multiple Payments.</w:t>
      </w:r>
    </w:p>
    <w:p>
      <w:pPr>
        <w:pStyle w:val="ListBullet"/>
      </w:pPr>
      <w:r>
        <w:t>BR-09.2 Only verified and confirmed Payments reduce an Invoice outstanding balance.</w:t>
      </w:r>
    </w:p>
    <w:p>
      <w:pPr>
        <w:pStyle w:val="ListBullet"/>
      </w:pPr>
      <w:r>
        <w:t>BR-09.3 Pending or rejected Payments do not reduce outstanding balances.</w:t>
      </w:r>
    </w:p>
    <w:p>
      <w:pPr>
        <w:pStyle w:val="ListBullet"/>
      </w:pPr>
      <w:r>
        <w:t>BR-09.4 Residents cannot directly mark an Invoice as paid.</w:t>
      </w:r>
    </w:p>
    <w:p>
      <w:pPr>
        <w:pStyle w:val="ListBullet"/>
      </w:pPr>
      <w:r>
        <w:t>BR-09.5 Residents can access only payment and debt information for permitted apartment contexts.</w:t>
      </w:r>
    </w:p>
    <w:p>
      <w:pPr>
        <w:pStyle w:val="ListBullet"/>
      </w:pPr>
      <w:r>
        <w:t>BR-09.6 Only authorized Accountant users perform routine payment verification, confirmation, or rejection.</w:t>
      </w:r>
    </w:p>
    <w:p>
      <w:pPr>
        <w:pStyle w:val="ListBullet"/>
      </w:pPr>
      <w:r>
        <w:t>BR-09.7 Outstanding balance is derived from the Invoice amount and confirmed Payments rather than manually entered.</w:t>
      </w:r>
    </w:p>
    <w:p>
      <w:pPr>
        <w:pStyle w:val="ListBullet"/>
      </w:pPr>
      <w:r>
        <w:t>BR-09.8 A valid confirmed Payment must not exceed the remaining payable balance in the baseline.</w:t>
      </w:r>
    </w:p>
    <w:p>
      <w:pPr>
        <w:pStyle w:val="ListBullet"/>
      </w:pPr>
      <w:r>
        <w:t>BR-09.9 An Invoice with an outstanding balance after its due date is overdue according to approved business rules.</w:t>
      </w:r>
    </w:p>
    <w:p>
      <w:pPr>
        <w:pStyle w:val="ListBullet"/>
      </w:pPr>
      <w:r>
        <w:t>BR-09.10 Confirmed Payment history is preserved and not hard-deleted.</w:t>
      </w:r>
    </w:p>
    <w:p>
      <w:pPr>
        <w:pStyle w:val="ListBullet"/>
      </w:pPr>
      <w:r>
        <w:t>BR-09.11 Payment transaction status, Invoice settlement status, and Invoice lifecycle status remain separate.</w:t>
      </w:r>
    </w:p>
    <w:p>
      <w:pPr>
        <w:pStyle w:val="ListBullet"/>
      </w:pPr>
      <w:r>
        <w:t>BR-09.12 Manager has read and monitoring access and does not perform routine payment confirmation.</w:t>
      </w:r>
    </w:p>
    <w:p>
      <w:pPr>
        <w:pStyle w:val="ListBullet"/>
      </w:pPr>
      <w:r>
        <w:t>BR-09.13 FE-13 delivers payment and debt reminders initiated from FE-09.</w:t>
      </w:r>
    </w:p>
    <w:p>
      <w:pPr>
        <w:pStyle w:val="ListBullet"/>
      </w:pPr>
      <w:r>
        <w:t>BR-09.14 Refund, credit-balance, overpayment, and multi-invoice allocation workflows are excluded from the baseline.</w:t>
      </w:r>
    </w:p>
    <w:p>
      <w:pPr>
        <w:pStyle w:val="ListBullet"/>
      </w:pPr>
      <w:r>
        <w:t>BR-09.15 FE-09 does not expose a Building selector because each PropFlow deployment represents the current condominium.</w:t>
      </w:r>
    </w:p>
    <w:p>
      <w:pPr>
        <w:pStyle w:val="ListBullet"/>
      </w:pPr>
      <w:r>
        <w:t>BR-09.16 Search and filter behavior uses approved server-side criteria; no default sort order is fixed at Report 1 level.</w:t>
      </w:r>
    </w:p>
    <w:p>
      <w:pPr>
        <w:pStyle w:val="Heading1"/>
        <w:pageBreakBefore w:val="0"/>
      </w:pPr>
      <w:r>
        <w:t>12. Acceptance Criteria</w:t>
      </w:r>
    </w:p>
    <w:p>
      <w:pPr>
        <w:pStyle w:val="ListBullet"/>
      </w:pPr>
      <w:r>
        <w:t>AC-01 Resident can view outstanding obligations for permitted apartment contexts.</w:t>
      </w:r>
    </w:p>
    <w:p>
      <w:pPr>
        <w:pStyle w:val="ListBullet"/>
      </w:pPr>
      <w:r>
        <w:t>AC-02 Resident can submit or initiate a Payment for an eligible Invoice and cannot mark the Invoice paid directly.</w:t>
      </w:r>
    </w:p>
    <w:p>
      <w:pPr>
        <w:pStyle w:val="ListBullet"/>
      </w:pPr>
      <w:r>
        <w:t>AC-03 Resident can view permitted Payment history and verification status.</w:t>
      </w:r>
    </w:p>
    <w:p>
      <w:pPr>
        <w:pStyle w:val="ListBullet"/>
      </w:pPr>
      <w:r>
        <w:t>AC-04 Accountant can record, review, verify, confirm, or reject Payments within the permitted financial scope.</w:t>
      </w:r>
    </w:p>
    <w:p>
      <w:pPr>
        <w:pStyle w:val="ListBullet"/>
      </w:pPr>
      <w:r>
        <w:t>AC-05 A confirmed Payment reduces the related Invoice outstanding balance only after backend confirmation.</w:t>
      </w:r>
    </w:p>
    <w:p>
      <w:pPr>
        <w:pStyle w:val="ListBullet"/>
      </w:pPr>
      <w:r>
        <w:t>AC-06 Pending or rejected Payments do not reduce the outstanding balance.</w:t>
      </w:r>
    </w:p>
    <w:p>
      <w:pPr>
        <w:pStyle w:val="ListBullet"/>
      </w:pPr>
      <w:r>
        <w:t>AC-07 The system derives settlement and outstanding balance from FE-08 Invoice data and confirmed Payments.</w:t>
      </w:r>
    </w:p>
    <w:p>
      <w:pPr>
        <w:pStyle w:val="ListBullet"/>
      </w:pPr>
      <w:r>
        <w:t>AC-08 The system identifies overdue obligations from remaining balance and approved due-date rules.</w:t>
      </w:r>
    </w:p>
    <w:p>
      <w:pPr>
        <w:pStyle w:val="ListBullet"/>
      </w:pPr>
      <w:r>
        <w:t>AC-09 Accountant can search and filter permitted Payment and debt records and initiate approved reminders.</w:t>
      </w:r>
    </w:p>
    <w:p>
      <w:pPr>
        <w:pStyle w:val="ListBullet"/>
      </w:pPr>
      <w:r>
        <w:t>AC-10 Manager can view, search, and monitor collection information without routine Payment confirmation.</w:t>
      </w:r>
    </w:p>
    <w:p>
      <w:pPr>
        <w:pStyle w:val="ListBullet"/>
      </w:pPr>
      <w:r>
        <w:t>AC-11 Resident cannot access financial records for unrelated apartment contexts.</w:t>
      </w:r>
    </w:p>
    <w:p>
      <w:pPr>
        <w:pStyle w:val="ListBullet"/>
      </w:pPr>
      <w:r>
        <w:t>AC-12 Confirmed Payment history remains preserved.</w:t>
      </w:r>
    </w:p>
    <w:p>
      <w:pPr>
        <w:pStyle w:val="ListBullet"/>
      </w:pPr>
      <w:r>
        <w:t>AC-13 FE-09 access requires successful authentication, fixed authorization, and applicable business-scope checks.</w:t>
      </w:r>
    </w:p>
    <w:p>
      <w:pPr>
        <w:pStyle w:val="ListBullet"/>
      </w:pPr>
      <w:r>
        <w:t>AC-14 FE-09 remains separate from FE-08 billing ownership and FE-14 reporting ownership.</w:t>
      </w:r>
    </w:p>
    <w:p>
      <w:pPr>
        <w:pStyle w:val="ListBullet"/>
      </w:pPr>
      <w:r>
        <w:t>AC-15 FE-09 does not expose cross-condominium selection or filtering.</w:t>
      </w:r>
    </w:p>
    <w:p>
      <w:pPr>
        <w:pStyle w:val="Heading1"/>
        <w:pageBreakBefore w:val="0"/>
      </w:pPr>
      <w:r>
        <w:t>13. Detailed Specification Coverage</w:t>
      </w:r>
    </w:p>
    <w:p>
      <w:r>
        <w:t>This document defines the Report 1 business baseline. The reference FE-01, FE-04, and FE-15 reviews do not define screen-item catalogs, message catalogs, API payloads, or physical database columns. Those artifacts require approved UI, API, and data-design specifications and must preserve the rules in this document.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3024"/>
            <w:shd w:fill="1F4E78"/>
            <w:vAlign w:val="center"/>
            <w:tcMar>
              <w:top w:w="90" w:type="dxa"/>
              <w:start w:w="100" w:type="dxa"/>
              <w:bottom w:w="90" w:type="dxa"/>
              <w:end w:w="100" w:type="dxa"/>
            </w:tcMar>
          </w:tcPr>
          <w:p>
            <w:pPr>
              <w:jc w:val="center"/>
            </w:pPr>
            <w:r>
              <w:rPr>
                <w:rFonts w:ascii="Arial" w:hAnsi="Arial"/>
                <w:b/>
                <w:color w:val="FFFFFF"/>
                <w:sz w:val="16"/>
              </w:rPr>
              <w:t>Artifact</w:t>
            </w:r>
          </w:p>
        </w:tc>
        <w:tc>
          <w:tcPr>
            <w:tcW w:type="dxa" w:w="1655"/>
            <w:shd w:fill="1F4E78"/>
            <w:vAlign w:val="center"/>
            <w:tcMar>
              <w:top w:w="90" w:type="dxa"/>
              <w:start w:w="100" w:type="dxa"/>
              <w:bottom w:w="90" w:type="dxa"/>
              <w:end w:w="100" w:type="dxa"/>
            </w:tcMar>
          </w:tcPr>
          <w:p>
            <w:pPr>
              <w:jc w:val="center"/>
            </w:pPr>
            <w:r>
              <w:rPr>
                <w:rFonts w:ascii="Arial" w:hAnsi="Arial"/>
                <w:b/>
                <w:color w:val="FFFFFF"/>
                <w:sz w:val="16"/>
              </w:rPr>
              <w:t>Report 1 Status</w:t>
            </w:r>
          </w:p>
        </w:tc>
        <w:tc>
          <w:tcPr>
            <w:tcW w:type="dxa" w:w="5400"/>
            <w:shd w:fill="1F4E78"/>
            <w:vAlign w:val="center"/>
            <w:tcMar>
              <w:top w:w="90" w:type="dxa"/>
              <w:start w:w="100" w:type="dxa"/>
              <w:bottom w:w="90" w:type="dxa"/>
              <w:end w:w="100" w:type="dxa"/>
            </w:tcMar>
          </w:tcPr>
          <w:p>
            <w:pPr>
              <w:jc w:val="center"/>
            </w:pPr>
            <w:r>
              <w:rPr>
                <w:rFonts w:ascii="Arial" w:hAnsi="Arial"/>
                <w:b/>
                <w:color w:val="FFFFFF"/>
                <w:sz w:val="16"/>
              </w:rPr>
              <w:t>Consistency Requirement</w:t>
            </w:r>
          </w:p>
        </w:tc>
      </w:tr>
      <w:tr>
        <w:trPr>
          <w:cantSplit w:val="true"/>
        </w:trPr>
        <w:tc>
          <w:tcPr>
            <w:tcW w:type="dxa" w:w="3024"/>
            <w:vAlign w:val="center"/>
            <w:tcMar>
              <w:top w:w="90" w:type="dxa"/>
              <w:start w:w="100" w:type="dxa"/>
              <w:bottom w:w="90" w:type="dxa"/>
              <w:end w:w="100" w:type="dxa"/>
            </w:tcMar>
          </w:tcPr>
          <w:p>
            <w:pPr>
              <w:spacing w:after="0"/>
              <w:jc w:val="center"/>
            </w:pPr>
            <w:r>
              <w:rPr>
                <w:rFonts w:ascii="Arial" w:hAnsi="Arial"/>
                <w:sz w:val="16"/>
              </w:rPr>
              <w:t>Screen titles, screen items, initial display, navigation, and transitions</w:t>
            </w:r>
          </w:p>
        </w:tc>
        <w:tc>
          <w:tcPr>
            <w:tcW w:type="dxa" w:w="1655"/>
            <w:vAlign w:val="center"/>
            <w:tcMar>
              <w:top w:w="90" w:type="dxa"/>
              <w:start w:w="100" w:type="dxa"/>
              <w:bottom w:w="90" w:type="dxa"/>
              <w:end w:w="100" w:type="dxa"/>
            </w:tcMar>
          </w:tcPr>
          <w:p>
            <w:pPr>
              <w:spacing w:after="0"/>
              <w:jc w:val="left"/>
            </w:pPr>
            <w:r>
              <w:rPr>
                <w:rFonts w:ascii="Arial" w:hAnsi="Arial"/>
                <w:sz w:val="16"/>
              </w:rPr>
              <w:t>Deferred</w:t>
            </w:r>
          </w:p>
        </w:tc>
        <w:tc>
          <w:tcPr>
            <w:tcW w:type="dxa" w:w="5400"/>
            <w:vAlign w:val="center"/>
            <w:tcMar>
              <w:top w:w="90" w:type="dxa"/>
              <w:start w:w="100" w:type="dxa"/>
              <w:bottom w:w="90" w:type="dxa"/>
              <w:end w:w="100" w:type="dxa"/>
            </w:tcMar>
          </w:tcPr>
          <w:p>
            <w:pPr>
              <w:spacing w:after="0"/>
              <w:jc w:val="left"/>
            </w:pPr>
            <w:r>
              <w:rPr>
                <w:rFonts w:ascii="Arial" w:hAnsi="Arial"/>
                <w:sz w:val="16"/>
              </w:rPr>
              <w:t>Use the approved PropFlow UI standard and the actor, scope, and workflow rules in this document.</w:t>
            </w:r>
          </w:p>
        </w:tc>
      </w:tr>
      <w:tr>
        <w:trPr>
          <w:cantSplit w:val="true"/>
        </w:trPr>
        <w:tc>
          <w:tcPr>
            <w:tcW w:type="dxa" w:w="3024"/>
            <w:vAlign w:val="center"/>
            <w:tcMar>
              <w:top w:w="90" w:type="dxa"/>
              <w:start w:w="100" w:type="dxa"/>
              <w:bottom w:w="90" w:type="dxa"/>
              <w:end w:w="100" w:type="dxa"/>
            </w:tcMar>
            <w:shd w:fill="EAF2F8"/>
          </w:tcPr>
          <w:p>
            <w:pPr>
              <w:spacing w:after="0"/>
              <w:jc w:val="center"/>
            </w:pPr>
            <w:r>
              <w:rPr>
                <w:rFonts w:ascii="Arial" w:hAnsi="Arial"/>
                <w:sz w:val="16"/>
              </w:rPr>
              <w:t>Input/output fields, required/optional notation, and validation messages</w:t>
            </w:r>
          </w:p>
        </w:tc>
        <w:tc>
          <w:tcPr>
            <w:tcW w:type="dxa" w:w="1655"/>
            <w:vAlign w:val="center"/>
            <w:tcMar>
              <w:top w:w="90" w:type="dxa"/>
              <w:start w:w="100" w:type="dxa"/>
              <w:bottom w:w="90" w:type="dxa"/>
              <w:end w:w="100" w:type="dxa"/>
            </w:tcMar>
            <w:shd w:fill="EAF2F8"/>
          </w:tcPr>
          <w:p>
            <w:pPr>
              <w:spacing w:after="0"/>
              <w:jc w:val="left"/>
            </w:pPr>
            <w:r>
              <w:rPr>
                <w:rFonts w:ascii="Arial" w:hAnsi="Arial"/>
                <w:sz w:val="16"/>
              </w:rPr>
              <w:t>Deferred</w:t>
            </w:r>
          </w:p>
        </w:tc>
        <w:tc>
          <w:tcPr>
            <w:tcW w:type="dxa" w:w="5400"/>
            <w:vAlign w:val="center"/>
            <w:tcMar>
              <w:top w:w="90" w:type="dxa"/>
              <w:start w:w="100" w:type="dxa"/>
              <w:bottom w:w="90" w:type="dxa"/>
              <w:end w:w="100" w:type="dxa"/>
            </w:tcMar>
            <w:shd w:fill="EAF2F8"/>
          </w:tcPr>
          <w:p>
            <w:pPr>
              <w:spacing w:after="0"/>
              <w:jc w:val="left"/>
            </w:pPr>
            <w:r>
              <w:rPr>
                <w:rFonts w:ascii="Arial" w:hAnsi="Arial"/>
                <w:sz w:val="16"/>
              </w:rPr>
              <w:t>Do not add fields or validation rules that change the approved financial business baseline.</w:t>
            </w:r>
          </w:p>
        </w:tc>
      </w:tr>
      <w:tr>
        <w:trPr>
          <w:cantSplit w:val="true"/>
        </w:trPr>
        <w:tc>
          <w:tcPr>
            <w:tcW w:type="dxa" w:w="3024"/>
            <w:vAlign w:val="center"/>
            <w:tcMar>
              <w:top w:w="90" w:type="dxa"/>
              <w:start w:w="100" w:type="dxa"/>
              <w:bottom w:w="90" w:type="dxa"/>
              <w:end w:w="100" w:type="dxa"/>
            </w:tcMar>
          </w:tcPr>
          <w:p>
            <w:pPr>
              <w:spacing w:after="0"/>
              <w:jc w:val="center"/>
            </w:pPr>
            <w:r>
              <w:rPr>
                <w:rFonts w:ascii="Arial" w:hAnsi="Arial"/>
                <w:sz w:val="16"/>
              </w:rPr>
              <w:t>Message IDs and localized wording</w:t>
            </w:r>
          </w:p>
        </w:tc>
        <w:tc>
          <w:tcPr>
            <w:tcW w:type="dxa" w:w="1655"/>
            <w:vAlign w:val="center"/>
            <w:tcMar>
              <w:top w:w="90" w:type="dxa"/>
              <w:start w:w="100" w:type="dxa"/>
              <w:bottom w:w="90" w:type="dxa"/>
              <w:end w:w="100" w:type="dxa"/>
            </w:tcMar>
          </w:tcPr>
          <w:p>
            <w:pPr>
              <w:spacing w:after="0"/>
              <w:jc w:val="left"/>
            </w:pPr>
            <w:r>
              <w:rPr>
                <w:rFonts w:ascii="Arial" w:hAnsi="Arial"/>
                <w:sz w:val="16"/>
              </w:rPr>
              <w:t>Deferred</w:t>
            </w:r>
          </w:p>
        </w:tc>
        <w:tc>
          <w:tcPr>
            <w:tcW w:type="dxa" w:w="5400"/>
            <w:vAlign w:val="center"/>
            <w:tcMar>
              <w:top w:w="90" w:type="dxa"/>
              <w:start w:w="100" w:type="dxa"/>
              <w:bottom w:w="90" w:type="dxa"/>
              <w:end w:w="100" w:type="dxa"/>
            </w:tcMar>
          </w:tcPr>
          <w:p>
            <w:pPr>
              <w:spacing w:after="0"/>
              <w:jc w:val="left"/>
            </w:pPr>
            <w:r>
              <w:rPr>
                <w:rFonts w:ascii="Arial" w:hAnsi="Arial"/>
                <w:sz w:val="16"/>
              </w:rPr>
              <w:t>Use the approved message catalog when available. No Japanese wording standard exists in the reference documents.</w:t>
            </w:r>
          </w:p>
        </w:tc>
      </w:tr>
      <w:tr>
        <w:trPr>
          <w:cantSplit w:val="true"/>
        </w:trPr>
        <w:tc>
          <w:tcPr>
            <w:tcW w:type="dxa" w:w="3024"/>
            <w:vAlign w:val="center"/>
            <w:tcMar>
              <w:top w:w="90" w:type="dxa"/>
              <w:start w:w="100" w:type="dxa"/>
              <w:bottom w:w="90" w:type="dxa"/>
              <w:end w:w="100" w:type="dxa"/>
            </w:tcMar>
            <w:shd w:fill="EAF2F8"/>
          </w:tcPr>
          <w:p>
            <w:pPr>
              <w:spacing w:after="0"/>
              <w:jc w:val="center"/>
            </w:pPr>
            <w:r>
              <w:rPr>
                <w:rFonts w:ascii="Arial" w:hAnsi="Arial"/>
                <w:sz w:val="16"/>
              </w:rPr>
              <w:t>API endpoints, request parameters, response parameters, and errors</w:t>
            </w:r>
          </w:p>
        </w:tc>
        <w:tc>
          <w:tcPr>
            <w:tcW w:type="dxa" w:w="1655"/>
            <w:vAlign w:val="center"/>
            <w:tcMar>
              <w:top w:w="90" w:type="dxa"/>
              <w:start w:w="100" w:type="dxa"/>
              <w:bottom w:w="90" w:type="dxa"/>
              <w:end w:w="100" w:type="dxa"/>
            </w:tcMar>
            <w:shd w:fill="EAF2F8"/>
          </w:tcPr>
          <w:p>
            <w:pPr>
              <w:spacing w:after="0"/>
              <w:jc w:val="left"/>
            </w:pPr>
            <w:r>
              <w:rPr>
                <w:rFonts w:ascii="Arial" w:hAnsi="Arial"/>
                <w:sz w:val="16"/>
              </w:rPr>
              <w:t>Deferred</w:t>
            </w:r>
          </w:p>
        </w:tc>
        <w:tc>
          <w:tcPr>
            <w:tcW w:type="dxa" w:w="5400"/>
            <w:vAlign w:val="center"/>
            <w:tcMar>
              <w:top w:w="90" w:type="dxa"/>
              <w:start w:w="100" w:type="dxa"/>
              <w:bottom w:w="90" w:type="dxa"/>
              <w:end w:w="100" w:type="dxa"/>
            </w:tcMar>
            <w:shd w:fill="EAF2F8"/>
          </w:tcPr>
          <w:p>
            <w:pPr>
              <w:spacing w:after="0"/>
              <w:jc w:val="left"/>
            </w:pPr>
            <w:r>
              <w:rPr>
                <w:rFonts w:ascii="Arial" w:hAnsi="Arial"/>
                <w:sz w:val="16"/>
              </w:rPr>
              <w:t>Use typed versioned contracts; enforce authentication, authorization, business scope, and authoritative financial state on the server.</w:t>
            </w:r>
          </w:p>
        </w:tc>
      </w:tr>
      <w:tr>
        <w:trPr>
          <w:cantSplit w:val="true"/>
        </w:trPr>
        <w:tc>
          <w:tcPr>
            <w:tcW w:type="dxa" w:w="3024"/>
            <w:vAlign w:val="center"/>
            <w:tcMar>
              <w:top w:w="90" w:type="dxa"/>
              <w:start w:w="100" w:type="dxa"/>
              <w:bottom w:w="90" w:type="dxa"/>
              <w:end w:w="100" w:type="dxa"/>
            </w:tcMar>
          </w:tcPr>
          <w:p>
            <w:pPr>
              <w:spacing w:after="0"/>
              <w:jc w:val="center"/>
            </w:pPr>
            <w:r>
              <w:rPr>
                <w:rFonts w:ascii="Arial" w:hAnsi="Arial"/>
                <w:sz w:val="16"/>
              </w:rPr>
              <w:t>Database tables, columns, keys, and physical names</w:t>
            </w:r>
          </w:p>
        </w:tc>
        <w:tc>
          <w:tcPr>
            <w:tcW w:type="dxa" w:w="1655"/>
            <w:vAlign w:val="center"/>
            <w:tcMar>
              <w:top w:w="90" w:type="dxa"/>
              <w:start w:w="100" w:type="dxa"/>
              <w:bottom w:w="90" w:type="dxa"/>
              <w:end w:w="100" w:type="dxa"/>
            </w:tcMar>
          </w:tcPr>
          <w:p>
            <w:pPr>
              <w:spacing w:after="0"/>
              <w:jc w:val="left"/>
            </w:pPr>
            <w:r>
              <w:rPr>
                <w:rFonts w:ascii="Arial" w:hAnsi="Arial"/>
                <w:sz w:val="16"/>
              </w:rPr>
              <w:t>Deferred</w:t>
            </w:r>
          </w:p>
        </w:tc>
        <w:tc>
          <w:tcPr>
            <w:tcW w:type="dxa" w:w="5400"/>
            <w:vAlign w:val="center"/>
            <w:tcMar>
              <w:top w:w="90" w:type="dxa"/>
              <w:start w:w="100" w:type="dxa"/>
              <w:bottom w:w="90" w:type="dxa"/>
              <w:end w:w="100" w:type="dxa"/>
            </w:tcMar>
          </w:tcPr>
          <w:p>
            <w:pPr>
              <w:spacing w:after="0"/>
              <w:jc w:val="left"/>
            </w:pPr>
            <w:r>
              <w:rPr>
                <w:rFonts w:ascii="Arial" w:hAnsi="Arial"/>
                <w:sz w:val="16"/>
              </w:rPr>
              <w:t>Preserve feature ownership and domain relationships; do not infer physical names from this Report 1 document.</w:t>
            </w:r>
          </w:p>
        </w:tc>
      </w:tr>
      <w:tr>
        <w:trPr>
          <w:cantSplit w:val="true"/>
        </w:trPr>
        <w:tc>
          <w:tcPr>
            <w:tcW w:type="dxa" w:w="3024"/>
            <w:vAlign w:val="center"/>
            <w:tcMar>
              <w:top w:w="90" w:type="dxa"/>
              <w:start w:w="100" w:type="dxa"/>
              <w:bottom w:w="90" w:type="dxa"/>
              <w:end w:w="100" w:type="dxa"/>
            </w:tcMar>
            <w:shd w:fill="EAF2F8"/>
          </w:tcPr>
          <w:p>
            <w:pPr>
              <w:spacing w:after="0"/>
              <w:jc w:val="center"/>
            </w:pPr>
            <w:r>
              <w:rPr>
                <w:rFonts w:ascii="Arial" w:hAnsi="Arial"/>
                <w:sz w:val="16"/>
              </w:rPr>
              <w:t>Search and sort defaults</w:t>
            </w:r>
          </w:p>
        </w:tc>
        <w:tc>
          <w:tcPr>
            <w:tcW w:type="dxa" w:w="1655"/>
            <w:vAlign w:val="center"/>
            <w:tcMar>
              <w:top w:w="90" w:type="dxa"/>
              <w:start w:w="100" w:type="dxa"/>
              <w:bottom w:w="90" w:type="dxa"/>
              <w:end w:w="100" w:type="dxa"/>
            </w:tcMar>
            <w:shd w:fill="EAF2F8"/>
          </w:tcPr>
          <w:p>
            <w:pPr>
              <w:spacing w:after="0"/>
              <w:jc w:val="left"/>
            </w:pPr>
            <w:r>
              <w:rPr>
                <w:rFonts w:ascii="Arial" w:hAnsi="Arial"/>
                <w:sz w:val="16"/>
              </w:rPr>
              <w:t>Partially defined</w:t>
            </w:r>
          </w:p>
        </w:tc>
        <w:tc>
          <w:tcPr>
            <w:tcW w:type="dxa" w:w="5400"/>
            <w:vAlign w:val="center"/>
            <w:tcMar>
              <w:top w:w="90" w:type="dxa"/>
              <w:start w:w="100" w:type="dxa"/>
              <w:bottom w:w="90" w:type="dxa"/>
              <w:end w:w="100" w:type="dxa"/>
            </w:tcMar>
            <w:shd w:fill="EAF2F8"/>
          </w:tcPr>
          <w:p>
            <w:pPr>
              <w:spacing w:after="0"/>
              <w:jc w:val="left"/>
            </w:pPr>
            <w:r>
              <w:rPr>
                <w:rFonts w:ascii="Arial" w:hAnsi="Arial"/>
                <w:sz w:val="16"/>
              </w:rPr>
              <w:t>Use only approved criteria and server-side behavior; no default sort order is fixed here.</w:t>
            </w:r>
          </w:p>
        </w:tc>
      </w:tr>
    </w:tbl>
    <w:p>
      <w:pPr>
        <w:spacing w:after="20"/>
      </w:pPr>
    </w:p>
    <w:p>
      <w:pPr>
        <w:pStyle w:val="Heading1"/>
        <w:pageBreakBefore w:val="0"/>
      </w:pPr>
      <w:r>
        <w:t>14. Report 1 – Ready-to-Use Major Feature Description</w:t>
      </w:r>
    </w:p>
    <w:p>
      <w:r>
        <w:t>FE-09: Payment &amp; Debt Management</w:t>
      </w:r>
    </w:p>
    <w:p>
      <w:r>
        <w:t>Resident Side:</w:t>
      </w:r>
    </w:p>
    <w:p>
      <w:pPr>
        <w:pStyle w:val="ListBullet"/>
      </w:pPr>
      <w:r>
        <w:t>FE-09.1: View invoice amounts, confirmed paid amounts, remaining balances, due dates, and permitted settlement information.</w:t>
      </w:r>
    </w:p>
    <w:p>
      <w:pPr>
        <w:pStyle w:val="ListBullet"/>
      </w:pPr>
      <w:r>
        <w:t>FE-09.2: Submit or initiate payment for an eligible invoice without marking it paid.</w:t>
      </w:r>
    </w:p>
    <w:p>
      <w:pPr>
        <w:pStyle w:val="ListBullet"/>
      </w:pPr>
      <w:r>
        <w:t>FE-09.3: View permitted payment transactions and verification status.</w:t>
      </w:r>
    </w:p>
    <w:p>
      <w:r>
        <w:t>Accountant Side:</w:t>
      </w:r>
    </w:p>
    <w:p>
      <w:pPr>
        <w:pStyle w:val="ListBullet"/>
      </w:pPr>
      <w:r>
        <w:t>FE-09.4: Record valid payment transactions and associate each with the appropriate invoice.</w:t>
      </w:r>
    </w:p>
    <w:p>
      <w:pPr>
        <w:pStyle w:val="ListBullet"/>
      </w:pPr>
      <w:r>
        <w:t>FE-09.5: Review payment details, invoice references, amounts, and supported evidence or references.</w:t>
      </w:r>
    </w:p>
    <w:p>
      <w:pPr>
        <w:pStyle w:val="ListBullet"/>
      </w:pPr>
      <w:r>
        <w:t>FE-09.6: Confirm valid payments or reject invalid transactions; only confirmed payments reduce balances.</w:t>
      </w:r>
    </w:p>
    <w:p>
      <w:pPr>
        <w:pStyle w:val="ListBullet"/>
      </w:pPr>
      <w:r>
        <w:t>FE-09.7: Monitor settlement and remaining balances based on confirmed payments.</w:t>
      </w:r>
    </w:p>
    <w:p>
      <w:pPr>
        <w:pStyle w:val="ListBullet"/>
      </w:pPr>
      <w:r>
        <w:t>FE-09.8: Identify and monitor invoices with remaining balances after the due date.</w:t>
      </w:r>
    </w:p>
    <w:p>
      <w:pPr>
        <w:pStyle w:val="ListBullet"/>
      </w:pPr>
      <w:r>
        <w:t>FE-09.9: Search and filter payment and debt records within the permitted financial scope.</w:t>
      </w:r>
    </w:p>
    <w:p>
      <w:pPr>
        <w:pStyle w:val="ListBullet"/>
      </w:pPr>
      <w:r>
        <w:t>FE-09.10: Initiate approved reminders; FE-13 owns notification delivery.</w:t>
      </w:r>
    </w:p>
    <w:p>
      <w:r>
        <w:t>Manager Side:</w:t>
      </w:r>
    </w:p>
    <w:p>
      <w:pPr>
        <w:pStyle w:val="ListBullet"/>
      </w:pPr>
      <w:r>
        <w:t>FE-09.11: View settlement, payment, outstanding-balance, and overdue information for oversight.</w:t>
      </w:r>
    </w:p>
    <w:p>
      <w:pPr>
        <w:pStyle w:val="ListBullet"/>
      </w:pPr>
      <w:r>
        <w:t>FE-09.12: Search and monitor collection status without routine payment confirmation.</w:t>
      </w:r>
    </w:p>
    <w:p>
      <w:pPr>
        <w:pStyle w:val="Heading1"/>
        <w:pageBreakBefore w:val="0"/>
      </w:pPr>
      <w:r>
        <w:t>15. Final Review Result</w:t>
      </w:r>
    </w:p>
    <w:p>
      <w:r>
        <w:t>Status: PASS after documentation consistency correction. FE-09 now uses one stable 12-item sub-feature catalog across the summary, detailed review, actor matrix, acceptance criteria, and Report 1 description. FE-09 preserves the separation between Payment transaction state, Invoice settlement state, and the FE-08 Invoice lifecycle.</w:t>
      </w:r>
    </w:p>
    <w:sectPr w:rsidR="00FC693F" w:rsidRPr="0006063C" w:rsidSect="00034616">
      <w:footerReference w:type="default" r:id="rId9"/>
      <w:pgSz w:w="12240" w:h="15840"/>
      <w:pgMar w:top="1037" w:right="1037" w:bottom="1037"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PropFlow – Report 1 Feature Review – FE-09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