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Quandatics</w:t>
      </w:r>
      <w:r>
        <w:t xml:space="preserve"> </w:t>
      </w:r>
      <w:r>
        <w:t xml:space="preserve">CRM</w:t>
      </w:r>
    </w:p>
    <w:p>
      <w:pPr>
        <w:pStyle w:val="Subtitle"/>
      </w:pPr>
      <w:r>
        <w:t xml:space="preserve">Proposal</w:t>
      </w:r>
      <w:r>
        <w:t xml:space="preserve"> </w:t>
      </w:r>
      <w:r>
        <w:t xml:space="preserve">and</w:t>
      </w:r>
      <w:r>
        <w:t xml:space="preserve"> </w:t>
      </w:r>
      <w:r>
        <w:t xml:space="preserve">Quotation</w:t>
      </w:r>
      <w:r>
        <w:t xml:space="preserve"> </w:t>
      </w:r>
      <w:r>
        <w:t xml:space="preserve">for</w:t>
      </w:r>
      <w:r>
        <w:t xml:space="preserve"> </w:t>
      </w:r>
      <w:r>
        <w:t xml:space="preserve">the</w:t>
      </w:r>
      <w:r>
        <w:t xml:space="preserve"> </w:t>
      </w:r>
      <w:r>
        <w:t xml:space="preserve">Design,</w:t>
      </w:r>
      <w:r>
        <w:t xml:space="preserve"> </w:t>
      </w:r>
      <w:r>
        <w:t xml:space="preserve">Development</w:t>
      </w:r>
      <w:r>
        <w:t xml:space="preserve"> </w:t>
      </w:r>
      <w:r>
        <w:t xml:space="preserve">and</w:t>
      </w:r>
      <w:r>
        <w:t xml:space="preserve"> </w:t>
      </w:r>
      <w:r>
        <w:t xml:space="preserve">Deployment</w:t>
      </w:r>
      <w:r>
        <w:t xml:space="preserve"> </w:t>
      </w:r>
      <w:r>
        <w:t xml:space="preserve">of</w:t>
      </w:r>
      <w:r>
        <w:t xml:space="preserve"> </w:t>
      </w:r>
      <w:r>
        <w:t xml:space="preserve">a</w:t>
      </w:r>
      <w:r>
        <w:t xml:space="preserve"> </w:t>
      </w:r>
      <w:r>
        <w:t xml:space="preserve">Custom</w:t>
      </w:r>
      <w:r>
        <w:t xml:space="preserve"> </w:t>
      </w:r>
      <w:r>
        <w:t xml:space="preserve">Customer</w:t>
      </w:r>
      <w:r>
        <w:t xml:space="preserve"> </w:t>
      </w:r>
      <w:r>
        <w:t xml:space="preserve">Relationship</w:t>
      </w:r>
      <w:r>
        <w:t xml:space="preserve"> </w:t>
      </w:r>
      <w:r>
        <w:t xml:space="preserve">Management</w:t>
      </w:r>
      <w:r>
        <w:t xml:space="preserve"> </w:t>
      </w:r>
      <w:r>
        <w:t xml:space="preserve">Platform</w:t>
      </w:r>
    </w:p>
    <w:p>
      <w:pPr>
        <w:pStyle w:val="Author"/>
      </w:pPr>
      <w:r>
        <w:t xml:space="preserve">Prepared</w:t>
      </w:r>
      <w:r>
        <w:t xml:space="preserve"> </w:t>
      </w:r>
      <w:r>
        <w:t xml:space="preserve">by</w:t>
      </w:r>
      <w:r>
        <w:t xml:space="preserve"> </w:t>
      </w:r>
      <w:r>
        <w:t xml:space="preserve">Quandatics</w:t>
      </w:r>
    </w:p>
    <w:p>
      <w:pPr>
        <w:pStyle w:val="Date"/>
      </w:pPr>
      <w:r>
        <w:t xml:space="preserve">28</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document-particulars"/>
      <w:r>
        <w:t xml:space="preserve">1. Document particulars</w:t>
      </w:r>
      <w:bookmarkEnd w:id="20"/>
    </w:p>
    <w:p>
      <w:pPr>
        <w:pStyle w:val="FirstParagraph"/>
      </w:pPr>
      <w:r>
        <w:t xml:space="preserve">Prepared for: [Client Company Name]</w:t>
      </w:r>
    </w:p>
    <w:p>
      <w:pPr>
        <w:pStyle w:val="BodyText"/>
      </w:pPr>
      <w:r>
        <w:t xml:space="preserve">Attention: [Client Contact, Title]</w:t>
      </w:r>
    </w:p>
    <w:p>
      <w:pPr>
        <w:pStyle w:val="BodyText"/>
      </w:pPr>
      <w:r>
        <w:t xml:space="preserve">Prepared by: Quandatics (hereinafter referred to as</w:t>
      </w:r>
      <w:r>
        <w:t xml:space="preserve"> </w:t>
      </w:r>
      <w:r>
        <w:t xml:space="preserve">“</w:t>
      </w:r>
      <w:r>
        <w:t xml:space="preserve">the Developer</w:t>
      </w:r>
      <w:r>
        <w:t xml:space="preserve">”</w:t>
      </w:r>
      <w:r>
        <w:t xml:space="preserve">), an independent software development practice.</w:t>
      </w:r>
    </w:p>
    <w:p>
      <w:pPr>
        <w:pStyle w:val="BodyText"/>
      </w:pPr>
      <w:r>
        <w:t xml:space="preserve">Proposal reference: QDT-CRM-2026-001</w:t>
      </w:r>
    </w:p>
    <w:p>
      <w:pPr>
        <w:pStyle w:val="BodyText"/>
      </w:pPr>
      <w:r>
        <w:t xml:space="preserve">Date of issue: 28 June 2026</w:t>
      </w:r>
    </w:p>
    <w:p>
      <w:pPr>
        <w:pStyle w:val="BodyText"/>
      </w:pPr>
      <w:r>
        <w:t xml:space="preserve">Validity: This proposal remains valid for thirty (30) days from the date of issue, expiring on 28 July 2026.</w:t>
      </w:r>
    </w:p>
    <w:p>
      <w:pPr>
        <w:pStyle w:val="BodyText"/>
      </w:pPr>
      <w:r>
        <w:t xml:space="preserve">Currency: All amounts are stated in Malaysian Ringgit (RM). Where figures originate in United States Dollars, they have been converted at an indicative rate of US$1 to RM 4.10 (Bank Negara Malaysia reference range, June 2026).</w:t>
      </w:r>
    </w:p>
    <w:p>
      <w:pPr>
        <w:pStyle w:val="BodyText"/>
      </w:pPr>
      <w:r>
        <w:t xml:space="preserve">This document constitutes a formal proposal incorporating a quotation. Sections 2 to 7 set out the requirement, the proposed solution, the engagement model, and a comparison with prevailing market pricing. Sections 8 to 12 constitute the formal quotation, comprising the priced scope, payment terms, assumptions, conditions, and acceptance.</w:t>
      </w:r>
    </w:p>
    <w:p>
      <w:pPr>
        <w:pStyle w:val="Heading1"/>
      </w:pPr>
      <w:bookmarkStart w:id="21" w:name="executive-summary"/>
      <w:r>
        <w:t xml:space="preserve">2. Executive summary</w:t>
      </w:r>
      <w:bookmarkEnd w:id="21"/>
    </w:p>
    <w:p>
      <w:pPr>
        <w:pStyle w:val="FirstParagraph"/>
      </w:pPr>
      <w:r>
        <w:t xml:space="preserve">The Developer proposes to design, develop, and deploy a bespoke Customer Relationship Management platform, referred to throughout this document as Quandatics CRM, for the exclusive use and ownership of the Client.</w:t>
      </w:r>
    </w:p>
    <w:p>
      <w:pPr>
        <w:pStyle w:val="BodyText"/>
      </w:pPr>
      <w:r>
        <w:t xml:space="preserve">In contrast to subscription-based Customer Relationship Management products, which are licensed on a recurring per-user basis, the proposed platform is delivered as an asset owned outright by the Client. Upon final payment, the source code, the data, and the deployment infrastructure reside entirely with the Client, and no recurring per-user licence fees are payable. The platform is engineered to a production standard and provides multi-tenant data isolation enforced at the database layer, Microsoft single sign-on, role-based approval workflows, a structured sales funnel, a quotation and taxation engine, sales-order processing, project tracking, and a probability-weighted revenue forecast.</w:t>
      </w:r>
    </w:p>
    <w:p>
      <w:pPr>
        <w:pStyle w:val="BodyText"/>
      </w:pPr>
      <w:r>
        <w:t xml:space="preserve">The proposed fee for the complete scope is RM 58,000, payable once. The basis for this figure, together with its position relative to the wider market, is set out in Sections 6, 7, and 8. In summary:</w:t>
      </w:r>
    </w:p>
    <w:p>
      <w:pPr>
        <w:pStyle w:val="BodyText"/>
      </w:pPr>
      <w:r>
        <w:t xml:space="preserve">Comparable bespoke systems delivered by Malaysian software houses are quoted in the region of RM 100,000 to RM 300,000 for equivalent multi-module scope. The fee proposed herein is materially lower, principally because the platform is delivered by the engineer who designed it, without the overhead and margin associated with an agency.</w:t>
      </w:r>
    </w:p>
    <w:p>
      <w:pPr>
        <w:pStyle w:val="BodyText"/>
      </w:pPr>
      <w:r>
        <w:t xml:space="preserve">Subscription Customer Relationship Management products accumulate substantial cost over time. A team of fifteen users would incur, over a three-year period and at published list prices, approximately RM 387,500 on Salesforce Sales Cloud Enterprise or approximately RM 205,400 on HubSpot Sales Hub Professional, and would own nothing at the conclusion of the term.</w:t>
      </w:r>
    </w:p>
    <w:p>
      <w:pPr>
        <w:pStyle w:val="BodyText"/>
      </w:pPr>
      <w:r>
        <w:t xml:space="preserve">The Developer wishes to state plainly that, for an organisation requiring only a basic and generic Customer Relationship Management function, an off-the-shelf product may represent a lower initial outlay. The case for a bespoke, owned platform rests on precise alignment with the Client’s processes, full ownership and data sovereignty, and the absence of per-user fees as the organisation grows. This rationale is presented in Section 5.</w:t>
      </w:r>
    </w:p>
    <w:p>
      <w:pPr>
        <w:pStyle w:val="Heading1"/>
      </w:pPr>
      <w:bookmarkStart w:id="22" w:name="background-and-objectives"/>
      <w:r>
        <w:t xml:space="preserve">3. Background and objectives</w:t>
      </w:r>
      <w:bookmarkEnd w:id="22"/>
    </w:p>
    <w:p>
      <w:pPr>
        <w:pStyle w:val="FirstParagraph"/>
      </w:pPr>
      <w:r>
        <w:t xml:space="preserve">The proposed engagement is intended to achieve the following objectives:</w:t>
      </w:r>
    </w:p>
    <w:p>
      <w:pPr>
        <w:pStyle w:val="BodyText"/>
      </w:pPr>
      <w:r>
        <w:t xml:space="preserve">To consolidate fragmented spreadsheets and manual coordination into a single, authoritative record of leads, accounts, contacts, and opportunities.</w:t>
      </w:r>
    </w:p>
    <w:p>
      <w:pPr>
        <w:pStyle w:val="BodyText"/>
      </w:pPr>
      <w:r>
        <w:t xml:space="preserve">To enforce a disciplined sales process by means of a structured funnel incorporating stage-gated approvals, such that an opportunity advances only upon authorisation by the appropriate party.</w:t>
      </w:r>
    </w:p>
    <w:p>
      <w:pPr>
        <w:pStyle w:val="BodyText"/>
      </w:pPr>
      <w:r>
        <w:t xml:space="preserve">To standardise the preparation of quotations and pricing, including the correct treatment of taxation and the retention of a faithful record of each quotation issued to a customer.</w:t>
      </w:r>
    </w:p>
    <w:p>
      <w:pPr>
        <w:pStyle w:val="BodyText"/>
      </w:pPr>
      <w:r>
        <w:t xml:space="preserve">To provide management with a real-time, probability-weighted revenue forecast in place of subjective pipeline assessment.</w:t>
      </w:r>
    </w:p>
    <w:p>
      <w:pPr>
        <w:pStyle w:val="BodyText"/>
      </w:pPr>
      <w:r>
        <w:t xml:space="preserve">To preserve the security and sovereignty of the Client’s data through self-hosting, with tenant isolation enforced at the database layer rather than solely within application code.</w:t>
      </w:r>
    </w:p>
    <w:p>
      <w:pPr>
        <w:pStyle w:val="BodyText"/>
      </w:pPr>
      <w:r>
        <w:t xml:space="preserve">To establish an asset that scales with the size of the workforce at no incremental licensing cost.</w:t>
      </w:r>
    </w:p>
    <w:p>
      <w:pPr>
        <w:pStyle w:val="Heading1"/>
      </w:pPr>
      <w:bookmarkStart w:id="23" w:name="scope-of-the-platform"/>
      <w:r>
        <w:t xml:space="preserve">4. Scope of the platform</w:t>
      </w:r>
      <w:bookmarkEnd w:id="23"/>
    </w:p>
    <w:p>
      <w:pPr>
        <w:pStyle w:val="FirstParagraph"/>
      </w:pPr>
      <w:r>
        <w:t xml:space="preserve">The platform is delivered as a complete and deployable system. Each functional area described below is developed, tested, and handed over to the Client together with the corresponding source code.</w:t>
      </w:r>
    </w:p>
    <w:p>
      <w:pPr>
        <w:pStyle w:val="Heading3"/>
      </w:pPr>
      <w:bookmarkStart w:id="24" w:name="Xca84a1db081ab00e9a6c08518050327232f997b"/>
      <w:r>
        <w:t xml:space="preserve">4.1 Foundation and multi-tenant infrastructure</w:t>
      </w:r>
      <w:bookmarkEnd w:id="24"/>
    </w:p>
    <w:p>
      <w:pPr>
        <w:pStyle w:val="FirstParagraph"/>
      </w:pPr>
      <w:r>
        <w:t xml:space="preserve">A contemporary application built on the Next.js framework and the PostgreSQL database, containerised for deployment and served behind a reverse proxy providing automatic encryption. Multi-tenancy is enforced through database-level Row-Level Security, whereby the isolation of each tenant’s data is guaranteed by the database itself rather than by application logic alone. The component includes hardened production safeguards and managed handling of credentials.</w:t>
      </w:r>
    </w:p>
    <w:p>
      <w:pPr>
        <w:pStyle w:val="Heading3"/>
      </w:pPr>
      <w:bookmarkStart w:id="25" w:name="authentication-and-microsoft-sign-in"/>
      <w:r>
        <w:t xml:space="preserve">4.2 Authentication and Microsoft sign-in</w:t>
      </w:r>
      <w:bookmarkEnd w:id="25"/>
    </w:p>
    <w:p>
      <w:pPr>
        <w:pStyle w:val="FirstParagraph"/>
      </w:pPr>
      <w:r>
        <w:t xml:space="preserve">Single sign-on through Microsoft Entra, together with optional per-tenant electronic-mail and password authentication, secure session management, and a controlled procedure for the first administrative user.</w:t>
      </w:r>
    </w:p>
    <w:p>
      <w:pPr>
        <w:pStyle w:val="Heading3"/>
      </w:pPr>
      <w:bookmarkStart w:id="26" w:name="X40cf85b58cefb8c842fc5880b8d24f11ecbb4e4"/>
      <w:r>
        <w:t xml:space="preserve">4.3 Roles, permissions, and reporting hierarchy</w:t>
      </w:r>
      <w:bookmarkEnd w:id="26"/>
    </w:p>
    <w:p>
      <w:pPr>
        <w:pStyle w:val="FirstParagraph"/>
      </w:pPr>
      <w:r>
        <w:t xml:space="preserve">A comprehensive role-based access control framework incorporating seniority tiers, a manager and reporting hierarchy, granular permissions, and safeguards against the unauthorised escalation of privileges.</w:t>
      </w:r>
    </w:p>
    <w:p>
      <w:pPr>
        <w:pStyle w:val="Heading3"/>
      </w:pPr>
      <w:bookmarkStart w:id="27" w:name="Xd3a84e17c2ae7220e5091fd99230c0723a7fb21"/>
      <w:r>
        <w:t xml:space="preserve">4.4 Customer records: leads, accounts, and contacts</w:t>
      </w:r>
      <w:bookmarkEnd w:id="27"/>
    </w:p>
    <w:p>
      <w:pPr>
        <w:pStyle w:val="FirstParagraph"/>
      </w:pPr>
      <w:r>
        <w:t xml:space="preserve">The capture and qualification of leads; the management of accounts, including a parent and subsidiary hierarchy with protection against circular relationships; the management of contacts associated with each account; and the orderly conversion of a lead into an account and contact.</w:t>
      </w:r>
    </w:p>
    <w:p>
      <w:pPr>
        <w:pStyle w:val="Heading3"/>
      </w:pPr>
      <w:bookmarkStart w:id="28" w:name="sales-funnel-and-approval-engine"/>
      <w:r>
        <w:t xml:space="preserve">4.5 Sales funnel and approval engine</w:t>
      </w:r>
      <w:bookmarkEnd w:id="28"/>
    </w:p>
    <w:p>
      <w:pPr>
        <w:pStyle w:val="FirstParagraph"/>
      </w:pPr>
      <w:r>
        <w:t xml:space="preserve">A structured sales funnel progressing through defined stages to a Won, Lost, or Held outcome, governed by a stage-gated approval mechanism. A member of staff submits a justification together with supporting documents; the approving party authorises the transition; and no stage advances prematurely. A complete history of stage transitions, including the stated reasons, is retained.</w:t>
      </w:r>
    </w:p>
    <w:p>
      <w:pPr>
        <w:pStyle w:val="Heading3"/>
      </w:pPr>
      <w:bookmarkStart w:id="29" w:name="quotation-engine"/>
      <w:r>
        <w:t xml:space="preserve">4.6 Quotation engine</w:t>
      </w:r>
      <w:bookmarkEnd w:id="29"/>
    </w:p>
    <w:p>
      <w:pPr>
        <w:pStyle w:val="FirstParagraph"/>
      </w:pPr>
      <w:r>
        <w:t xml:space="preserve">The preparation of service-based quotations comprising itemised lines, a configurable taxation engine, validated totals, and the recording of a fixed record at the point of issue, such that the rate, the totals, and the taxation treatment are preserved exactly as presented to the customer.</w:t>
      </w:r>
    </w:p>
    <w:p>
      <w:pPr>
        <w:pStyle w:val="Heading3"/>
      </w:pPr>
      <w:bookmarkStart w:id="30" w:name="sales-orders"/>
      <w:r>
        <w:t xml:space="preserve">4.7 Sales orders</w:t>
      </w:r>
      <w:bookmarkEnd w:id="30"/>
    </w:p>
    <w:p>
      <w:pPr>
        <w:pStyle w:val="FirstParagraph"/>
      </w:pPr>
      <w:r>
        <w:t xml:space="preserve">The conversion of accepted quotations into sales orders, incorporating per-tenant numbering and an approval workflow.</w:t>
      </w:r>
    </w:p>
    <w:p>
      <w:pPr>
        <w:pStyle w:val="Heading3"/>
      </w:pPr>
      <w:bookmarkStart w:id="31" w:name="projects-and-milestones"/>
      <w:r>
        <w:t xml:space="preserve">4.8 Projects and milestones</w:t>
      </w:r>
      <w:bookmarkEnd w:id="31"/>
    </w:p>
    <w:p>
      <w:pPr>
        <w:pStyle w:val="FirstParagraph"/>
      </w:pPr>
      <w:r>
        <w:t xml:space="preserve">The tracking of projects and milestones, enabling won opportunities to proceed to delivery.</w:t>
      </w:r>
    </w:p>
    <w:p>
      <w:pPr>
        <w:pStyle w:val="Heading3"/>
      </w:pPr>
      <w:bookmarkStart w:id="32" w:name="forecasting-dashboard-and-reporting"/>
      <w:r>
        <w:t xml:space="preserve">4.9 Forecasting, dashboard, and reporting</w:t>
      </w:r>
      <w:bookmarkEnd w:id="32"/>
    </w:p>
    <w:p>
      <w:pPr>
        <w:pStyle w:val="FirstParagraph"/>
      </w:pPr>
      <w:r>
        <w:t xml:space="preserve">A probability-weighted billing forecast, computed net of taxation and aggregated correctly by currency, together with an executive dashboard and supporting reports.</w:t>
      </w:r>
    </w:p>
    <w:p>
      <w:pPr>
        <w:pStyle w:val="Heading3"/>
      </w:pPr>
      <w:bookmarkStart w:id="33" w:name="audit-trail"/>
      <w:r>
        <w:t xml:space="preserve">4.10 Audit trail</w:t>
      </w:r>
      <w:bookmarkEnd w:id="33"/>
    </w:p>
    <w:p>
      <w:pPr>
        <w:pStyle w:val="FirstParagraph"/>
      </w:pPr>
      <w:r>
        <w:t xml:space="preserve">A protected audit log recording high-risk actions, including changes to access control, configuration, approvals, and financial records, for the purposes of compliance and accountability.</w:t>
      </w:r>
    </w:p>
    <w:p>
      <w:pPr>
        <w:pStyle w:val="Heading3"/>
      </w:pPr>
      <w:bookmarkStart w:id="34" w:name="user-interface"/>
      <w:r>
        <w:t xml:space="preserve">4.11 User interface</w:t>
      </w:r>
      <w:bookmarkEnd w:id="34"/>
    </w:p>
    <w:p>
      <w:pPr>
        <w:pStyle w:val="FirstParagraph"/>
      </w:pPr>
      <w:r>
        <w:t xml:space="preserve">A clean and responsive interface incorporating a consistent design system, sortable and filterable data tables, a command palette, a document viewer, file attachments, and selectable light and dark themes.</w:t>
      </w:r>
    </w:p>
    <w:p>
      <w:pPr>
        <w:pStyle w:val="Heading3"/>
      </w:pPr>
      <w:bookmarkStart w:id="35" w:name="security-and-correctness-review"/>
      <w:r>
        <w:t xml:space="preserve">4.12 Security and correctness review</w:t>
      </w:r>
      <w:bookmarkEnd w:id="35"/>
    </w:p>
    <w:p>
      <w:pPr>
        <w:pStyle w:val="FirstParagraph"/>
      </w:pPr>
      <w:r>
        <w:t xml:space="preserve">A dedicated review of security and correctness. The platform has already undergone a structured remediation of findings relating to authorisation, data integrity, and the handling of financial values, and is therefore hardened to a standard above that customary for systems of this scale.</w:t>
      </w:r>
    </w:p>
    <w:p>
      <w:pPr>
        <w:pStyle w:val="Heading3"/>
      </w:pPr>
      <w:bookmarkStart w:id="36" w:name="X575906f2701a48e9f6586115db33afb494c0dda"/>
      <w:r>
        <w:t xml:space="preserve">4.13 Quality assurance, deployment, documentation, and training</w:t>
      </w:r>
      <w:bookmarkEnd w:id="36"/>
    </w:p>
    <w:p>
      <w:pPr>
        <w:pStyle w:val="FirstParagraph"/>
      </w:pPr>
      <w:r>
        <w:t xml:space="preserve">End-to-end quality assurance, deployment to production, the preparation of operating documentation, and a handover and training session for the Client’s personnel.</w:t>
      </w:r>
    </w:p>
    <w:p>
      <w:pPr>
        <w:pStyle w:val="Heading1"/>
      </w:pPr>
      <w:bookmarkStart w:id="37" w:name="engagement-model-and-assurances"/>
      <w:r>
        <w:t xml:space="preserve">5. Engagement model and assurances</w:t>
      </w:r>
      <w:bookmarkEnd w:id="37"/>
    </w:p>
    <w:p>
      <w:pPr>
        <w:pStyle w:val="FirstParagraph"/>
      </w:pPr>
      <w:r>
        <w:t xml:space="preserve">The Developer recognises that the Client may reasonably ask why this work is offered by an independent developer rather than a corporate software house, and how the proposed fee is justified. The following points address those questions directly.</w:t>
      </w:r>
    </w:p>
    <w:p>
      <w:pPr>
        <w:pStyle w:val="Heading3"/>
      </w:pPr>
      <w:bookmarkStart w:id="38" w:name="Xfc4be58ee119fb9412400e5abdc120ace26c650"/>
      <w:r>
        <w:t xml:space="preserve">5.1 Direct delivery by the principal engineer</w:t>
      </w:r>
      <w:bookmarkEnd w:id="38"/>
    </w:p>
    <w:p>
      <w:pPr>
        <w:pStyle w:val="FirstParagraph"/>
      </w:pPr>
      <w:r>
        <w:t xml:space="preserve">The platform is delivered by the engineer who designed and built it. The Client communicates directly with the person performing the work, without an intervening layer of account management. This arrangement shortens decision-making, removes the cost of intermediaries, and ensures that requirements are understood by the individual responsible for implementing them.</w:t>
      </w:r>
    </w:p>
    <w:p>
      <w:pPr>
        <w:pStyle w:val="Heading3"/>
      </w:pPr>
      <w:bookmarkStart w:id="39" w:name="a-favourable-cost-structure"/>
      <w:r>
        <w:t xml:space="preserve">5.2 A favourable cost structure</w:t>
      </w:r>
      <w:bookmarkEnd w:id="39"/>
    </w:p>
    <w:p>
      <w:pPr>
        <w:pStyle w:val="FirstParagraph"/>
      </w:pPr>
      <w:r>
        <w:t xml:space="preserve">An independent practice does not carry the overhead of a corporate organisation, namely sales teams, management layers, premises, and the associated margin. A system comparable to one quoted by an agency at RM 100,000 or more can therefore be delivered at a considerably lower fee without any reduction in quality. The proposed fee reflects the absence of agency overhead, not a reduction in scope or standard.</w:t>
      </w:r>
    </w:p>
    <w:p>
      <w:pPr>
        <w:pStyle w:val="Heading3"/>
      </w:pPr>
      <w:bookmarkStart w:id="40" w:name="Xa7bd34799bbd1eab0e3f503f3f4a49c27474986"/>
      <w:r>
        <w:t xml:space="preserve">5.3 A platform that is already built and proven</w:t>
      </w:r>
      <w:bookmarkEnd w:id="40"/>
    </w:p>
    <w:p>
      <w:pPr>
        <w:pStyle w:val="FirstParagraph"/>
      </w:pPr>
      <w:r>
        <w:t xml:space="preserve">This engagement is not speculative development from a blank page. The platform exists, has been subjected to a security and correctness review, and is ready for deployment and tailoring to the Client’s requirements. The principal technical risk associated with bespoke software, namely uncertainty during initial construction, has therefore already been addressed.</w:t>
      </w:r>
    </w:p>
    <w:p>
      <w:pPr>
        <w:pStyle w:val="Heading3"/>
      </w:pPr>
      <w:bookmarkStart w:id="41" w:name="no-dependence-on-a-single-individual"/>
      <w:r>
        <w:t xml:space="preserve">5.4 No dependence on a single individual</w:t>
      </w:r>
      <w:bookmarkEnd w:id="41"/>
    </w:p>
    <w:p>
      <w:pPr>
        <w:pStyle w:val="FirstParagraph"/>
      </w:pPr>
      <w:r>
        <w:t xml:space="preserve">The complete source code is transferred to the Client upon final payment, and the platform is built upon a mainstream and widely supported technology stack. The Client is consequently never dependent upon the Developer alone; any competent software developer or firm is able to maintain and extend the system. This arrangement removes the concern, common to engagements with a sole supplier, of reliance upon one person.</w:t>
      </w:r>
    </w:p>
    <w:p>
      <w:pPr>
        <w:pStyle w:val="Heading3"/>
      </w:pPr>
      <w:bookmarkStart w:id="42" w:name="assurances-available-on-request"/>
      <w:r>
        <w:t xml:space="preserve">5.5 Assurances available on request</w:t>
      </w:r>
      <w:bookmarkEnd w:id="42"/>
    </w:p>
    <w:p>
      <w:pPr>
        <w:pStyle w:val="FirstParagraph"/>
      </w:pPr>
      <w:r>
        <w:t xml:space="preserve">The Developer is willing to provide, on request, a technical walk-through of the platform, a review of the codebase, client references, and a source-code escrow arrangement, in order to provide the Client with appropriate confidence prior to commitment.</w:t>
      </w:r>
    </w:p>
    <w:p>
      <w:pPr>
        <w:pStyle w:val="Heading1"/>
      </w:pPr>
      <w:bookmarkStart w:id="43" w:name="rationale-for-a-bespoke-owned-solution"/>
      <w:r>
        <w:t xml:space="preserve">6. Rationale for a bespoke, owned solution</w:t>
      </w:r>
      <w:bookmarkEnd w:id="43"/>
    </w:p>
    <w:p>
      <w:pPr>
        <w:pStyle w:val="FirstParagraph"/>
      </w:pPr>
      <w:r>
        <w:t xml:space="preserve">Ownership of the asset. Upon final payment, the source code, the data, and the infrastructure belong to the Client. There is no supplier lock-in, no increase in fees upon renewal, and no dependence upon the continued availability of a single vendor.</w:t>
      </w:r>
    </w:p>
    <w:p>
      <w:pPr>
        <w:pStyle w:val="BodyText"/>
      </w:pPr>
      <w:r>
        <w:t xml:space="preserve">Absence of per-user fees. Additional users may be added at no incremental licensing cost. Subscription products levy a charge for each user, every month, in perpetuity; the cost of such products increases with the size of the team, whereas the cost of the proposed asset does not.</w:t>
      </w:r>
    </w:p>
    <w:p>
      <w:pPr>
        <w:pStyle w:val="BodyText"/>
      </w:pPr>
      <w:r>
        <w:t xml:space="preserve">Security and data sovereignty. The platform is self-hosted, with tenant isolation enforced at the database layer, and has been subjected to a security review. The Client’s data remains under the Client’s control, upon infrastructure of the Client’s choosing, which is advantageous for compliance with the Personal Data Protection Act and for the service of privacy-sensitive customers.</w:t>
      </w:r>
    </w:p>
    <w:p>
      <w:pPr>
        <w:pStyle w:val="BodyText"/>
      </w:pPr>
      <w:r>
        <w:t xml:space="preserve">Precise alignment with the Client’s processes. The funnel, the approval gates, the quotation logic, and the forecasting model conform to the manner in which the Client conducts business, rather than requiring the Client to conform to the assumptions of a generic product.</w:t>
      </w:r>
    </w:p>
    <w:p>
      <w:pPr>
        <w:pStyle w:val="BodyText"/>
      </w:pPr>
      <w:r>
        <w:t xml:space="preserve">A durable technical foundation. The platform is built upon a current and mainstream technology stack and may therefore be extended and integrated, for example with the LHDN MyInvois electronic-invoicing service, and maintained by any competent party.</w:t>
      </w:r>
    </w:p>
    <w:p>
      <w:pPr>
        <w:pStyle w:val="BodyText"/>
      </w:pPr>
      <w:r>
        <w:t xml:space="preserve">Potential eligibility for grant support. The training and implementation of custom software are frequently claimable under the Human Resources Development Corporation scheme for eligible Malaysian employers. The Developer is able to provide the documentation required to support such a claim.</w:t>
      </w:r>
    </w:p>
    <w:p>
      <w:pPr>
        <w:pStyle w:val="Heading1"/>
      </w:pPr>
      <w:bookmarkStart w:id="44" w:name="comparative-market-pricing"/>
      <w:r>
        <w:t xml:space="preserve">7. Comparative market pricing</w:t>
      </w:r>
      <w:bookmarkEnd w:id="44"/>
    </w:p>
    <w:p>
      <w:pPr>
        <w:pStyle w:val="FirstParagraph"/>
      </w:pPr>
      <w:r>
        <w:t xml:space="preserve">The figures presented below are drawn from the published pricing of each vendor or from public pricing guides dated 2026, for which references are provided in Section 13. Subscription totals assume a team of fifteen users over a period of thirty-six months at list prices; actual subscription discounts and additional charges vary by agreement.</w:t>
      </w:r>
    </w:p>
    <w:p>
      <w:pPr>
        <w:pStyle w:val="Heading3"/>
      </w:pPr>
      <w:bookmarkStart w:id="45" w:name="X48a7fb6f7ac31da5713d2214218283551742547"/>
      <w:r>
        <w:t xml:space="preserve">7.1 Subscription and off-the-shelf products (licensed, not owned)</w:t>
      </w:r>
      <w:bookmarkEnd w:id="45"/>
    </w:p>
    <w:tbl>
      <w:tblPr>
        <w:tblStyle w:val="Table"/>
        <w:tblW w:type="dxa" w:w="9070"/>
        <w:tblLook w:firstRow="1"/>
        <w:tblLayout w:type="fixed"/>
      </w:tblPr>
      <w:tblGrid>
        <w:gridCol w:w="1008"/>
        <w:gridCol w:w="1008"/>
        <w:gridCol w:w="1008"/>
        <w:gridCol w:w="1344"/>
        <w:gridCol w:w="1344"/>
        <w:gridCol w:w="1679"/>
        <w:gridCol w:w="1679"/>
      </w:tblGrid>
      <w:tr>
        <w:trPr>
          <w:cnfStyle w:firstRow="1"/>
        </w:trPr>
        <w:tc>
          <w:tcPr>
            <w:tcW w:type="dxa" w:w="1008"/>
            <w:tcBorders>
              <w:bottom w:val="single"/>
            </w:tcBorders>
            <w:vAlign w:val="bottom"/>
          </w:tcPr>
          <w:p>
            <w:pPr>
              <w:pStyle w:val="Compact"/>
              <w:jc w:val="left"/>
            </w:pPr>
            <w:r>
              <w:t xml:space="preserve">Vendor or product</w:t>
            </w:r>
          </w:p>
        </w:tc>
        <w:tc>
          <w:tcPr>
            <w:tcW w:type="dxa" w:w="1008"/>
            <w:tcBorders>
              <w:bottom w:val="single"/>
            </w:tcBorders>
            <w:vAlign w:val="bottom"/>
          </w:tcPr>
          <w:p>
            <w:pPr>
              <w:pStyle w:val="Compact"/>
              <w:jc w:val="left"/>
            </w:pPr>
            <w:r>
              <w:t xml:space="preserve">Plan (typical SME tier)</w:t>
            </w:r>
          </w:p>
        </w:tc>
        <w:tc>
          <w:tcPr>
            <w:tcW w:type="dxa" w:w="1008"/>
            <w:tcBorders>
              <w:bottom w:val="single"/>
            </w:tcBorders>
            <w:vAlign w:val="bottom"/>
          </w:tcPr>
          <w:p>
            <w:pPr>
              <w:pStyle w:val="Compact"/>
              <w:jc w:val="left"/>
            </w:pPr>
            <w:r>
              <w:t xml:space="preserve">List price</w:t>
            </w:r>
          </w:p>
        </w:tc>
        <w:tc>
          <w:tcPr>
            <w:tcW w:type="dxa" w:w="1344"/>
            <w:tcBorders>
              <w:bottom w:val="single"/>
            </w:tcBorders>
            <w:vAlign w:val="bottom"/>
          </w:tcPr>
          <w:p>
            <w:pPr>
              <w:pStyle w:val="Compact"/>
              <w:jc w:val="right"/>
            </w:pPr>
            <w:r>
              <w:t xml:space="preserve">Approx. RM per user per month</w:t>
            </w:r>
          </w:p>
        </w:tc>
        <w:tc>
          <w:tcPr>
            <w:tcW w:type="dxa" w:w="1344"/>
            <w:tcBorders>
              <w:bottom w:val="single"/>
            </w:tcBorders>
            <w:vAlign w:val="bottom"/>
          </w:tcPr>
          <w:p>
            <w:pPr>
              <w:pStyle w:val="Compact"/>
              <w:jc w:val="right"/>
            </w:pPr>
            <w:r>
              <w:t xml:space="preserve">Three-year cost, 15 users</w:t>
            </w:r>
          </w:p>
        </w:tc>
        <w:tc>
          <w:tcPr>
            <w:tcW w:type="dxa" w:w="1679"/>
            <w:tcBorders>
              <w:bottom w:val="single"/>
            </w:tcBorders>
            <w:vAlign w:val="bottom"/>
          </w:tcPr>
          <w:p>
            <w:pPr>
              <w:pStyle w:val="Compact"/>
              <w:jc w:val="center"/>
            </w:pPr>
            <w:r>
              <w:t xml:space="preserve">Source owned</w:t>
            </w:r>
          </w:p>
        </w:tc>
        <w:tc>
          <w:tcPr>
            <w:tcW w:type="dxa" w:w="1679"/>
            <w:tcBorders>
              <w:bottom w:val="single"/>
            </w:tcBorders>
            <w:vAlign w:val="bottom"/>
          </w:tcPr>
          <w:p>
            <w:pPr>
              <w:pStyle w:val="Compact"/>
              <w:jc w:val="center"/>
            </w:pPr>
            <w:r>
              <w:t xml:space="preserve">Self-hosted</w:t>
            </w:r>
          </w:p>
        </w:tc>
      </w:tr>
      <w:tr>
        <w:tc>
          <w:p>
            <w:pPr>
              <w:pStyle w:val="Compact"/>
              <w:jc w:val="left"/>
            </w:pPr>
            <w:hyperlink r:id="rId46">
              <w:r>
                <w:rPr>
                  <w:rStyle w:val="Hyperlink"/>
                </w:rPr>
                <w:t xml:space="preserve">Zoho CRM</w:t>
              </w:r>
            </w:hyperlink>
          </w:p>
        </w:tc>
        <w:tc>
          <w:p>
            <w:pPr>
              <w:pStyle w:val="Compact"/>
              <w:jc w:val="left"/>
            </w:pPr>
            <w:r>
              <w:t xml:space="preserve">Professional</w:t>
            </w:r>
          </w:p>
        </w:tc>
        <w:tc>
          <w:p>
            <w:pPr>
              <w:pStyle w:val="Compact"/>
              <w:jc w:val="left"/>
            </w:pPr>
            <w:r>
              <w:t xml:space="preserve">US$23 per user/month</w:t>
            </w:r>
          </w:p>
        </w:tc>
        <w:tc>
          <w:p>
            <w:pPr>
              <w:pStyle w:val="Compact"/>
              <w:jc w:val="right"/>
            </w:pPr>
            <w:r>
              <w:t xml:space="preserve">94</w:t>
            </w:r>
          </w:p>
        </w:tc>
        <w:tc>
          <w:p>
            <w:pPr>
              <w:pStyle w:val="Compact"/>
              <w:jc w:val="right"/>
            </w:pPr>
            <w:r>
              <w:t xml:space="preserve">50,900</w:t>
            </w:r>
          </w:p>
        </w:tc>
        <w:tc>
          <w:p>
            <w:pPr>
              <w:pStyle w:val="Compact"/>
              <w:jc w:val="center"/>
            </w:pPr>
            <w:r>
              <w:t xml:space="preserve">No</w:t>
            </w:r>
          </w:p>
        </w:tc>
        <w:tc>
          <w:p>
            <w:pPr>
              <w:pStyle w:val="Compact"/>
              <w:jc w:val="center"/>
            </w:pPr>
            <w:r>
              <w:t xml:space="preserve">No</w:t>
            </w:r>
          </w:p>
        </w:tc>
      </w:tr>
      <w:tr>
        <w:tc>
          <w:p>
            <w:pPr>
              <w:pStyle w:val="Compact"/>
              <w:jc w:val="left"/>
            </w:pPr>
            <w:hyperlink r:id="rId46">
              <w:r>
                <w:rPr>
                  <w:rStyle w:val="Hyperlink"/>
                </w:rPr>
                <w:t xml:space="preserve">Zoho CRM</w:t>
              </w:r>
            </w:hyperlink>
          </w:p>
        </w:tc>
        <w:tc>
          <w:p>
            <w:pPr>
              <w:pStyle w:val="Compact"/>
              <w:jc w:val="left"/>
            </w:pPr>
            <w:r>
              <w:t xml:space="preserve">Enterprise</w:t>
            </w:r>
          </w:p>
        </w:tc>
        <w:tc>
          <w:p>
            <w:pPr>
              <w:pStyle w:val="Compact"/>
              <w:jc w:val="left"/>
            </w:pPr>
            <w:r>
              <w:t xml:space="preserve">US$40 per user/month</w:t>
            </w:r>
          </w:p>
        </w:tc>
        <w:tc>
          <w:p>
            <w:pPr>
              <w:pStyle w:val="Compact"/>
              <w:jc w:val="right"/>
            </w:pPr>
            <w:r>
              <w:t xml:space="preserve">164</w:t>
            </w:r>
          </w:p>
        </w:tc>
        <w:tc>
          <w:p>
            <w:pPr>
              <w:pStyle w:val="Compact"/>
              <w:jc w:val="right"/>
            </w:pPr>
            <w:r>
              <w:t xml:space="preserve">88,600</w:t>
            </w:r>
          </w:p>
        </w:tc>
        <w:tc>
          <w:p>
            <w:pPr>
              <w:pStyle w:val="Compact"/>
              <w:jc w:val="center"/>
            </w:pPr>
            <w:r>
              <w:t xml:space="preserve">No</w:t>
            </w:r>
          </w:p>
        </w:tc>
        <w:tc>
          <w:p>
            <w:pPr>
              <w:pStyle w:val="Compact"/>
              <w:jc w:val="center"/>
            </w:pPr>
            <w:r>
              <w:t xml:space="preserve">No</w:t>
            </w:r>
          </w:p>
        </w:tc>
      </w:tr>
      <w:tr>
        <w:tc>
          <w:p>
            <w:pPr>
              <w:pStyle w:val="Compact"/>
              <w:jc w:val="left"/>
            </w:pPr>
            <w:hyperlink r:id="rId47">
              <w:r>
                <w:rPr>
                  <w:rStyle w:val="Hyperlink"/>
                </w:rPr>
                <w:t xml:space="preserve">HubSpot Sales Hub</w:t>
              </w:r>
            </w:hyperlink>
          </w:p>
        </w:tc>
        <w:tc>
          <w:p>
            <w:pPr>
              <w:pStyle w:val="Compact"/>
              <w:jc w:val="left"/>
            </w:pPr>
            <w:r>
              <w:t xml:space="preserve">Professional</w:t>
            </w:r>
          </w:p>
        </w:tc>
        <w:tc>
          <w:p>
            <w:pPr>
              <w:pStyle w:val="Compact"/>
              <w:jc w:val="left"/>
            </w:pPr>
            <w:r>
              <w:t xml:space="preserve">US$90 per seat/month plus US$1,500 onboarding</w:t>
            </w:r>
          </w:p>
        </w:tc>
        <w:tc>
          <w:p>
            <w:pPr>
              <w:pStyle w:val="Compact"/>
              <w:jc w:val="right"/>
            </w:pPr>
            <w:r>
              <w:t xml:space="preserve">369</w:t>
            </w:r>
          </w:p>
        </w:tc>
        <w:tc>
          <w:p>
            <w:pPr>
              <w:pStyle w:val="Compact"/>
              <w:jc w:val="right"/>
            </w:pPr>
            <w:r>
              <w:t xml:space="preserve">205,400</w:t>
            </w:r>
          </w:p>
        </w:tc>
        <w:tc>
          <w:p>
            <w:pPr>
              <w:pStyle w:val="Compact"/>
              <w:jc w:val="center"/>
            </w:pPr>
            <w:r>
              <w:t xml:space="preserve">No</w:t>
            </w:r>
          </w:p>
        </w:tc>
        <w:tc>
          <w:p>
            <w:pPr>
              <w:pStyle w:val="Compact"/>
              <w:jc w:val="center"/>
            </w:pPr>
            <w:r>
              <w:t xml:space="preserve">No</w:t>
            </w:r>
          </w:p>
        </w:tc>
      </w:tr>
      <w:tr>
        <w:tc>
          <w:p>
            <w:pPr>
              <w:pStyle w:val="Compact"/>
              <w:jc w:val="left"/>
            </w:pPr>
            <w:hyperlink r:id="rId48">
              <w:r>
                <w:rPr>
                  <w:rStyle w:val="Hyperlink"/>
                </w:rPr>
                <w:t xml:space="preserve">Salesforce Sales Cloud</w:t>
              </w:r>
            </w:hyperlink>
          </w:p>
        </w:tc>
        <w:tc>
          <w:p>
            <w:pPr>
              <w:pStyle w:val="Compact"/>
              <w:jc w:val="left"/>
            </w:pPr>
            <w:r>
              <w:t xml:space="preserve">Enterprise</w:t>
            </w:r>
          </w:p>
        </w:tc>
        <w:tc>
          <w:p>
            <w:pPr>
              <w:pStyle w:val="Compact"/>
              <w:jc w:val="left"/>
            </w:pPr>
            <w:r>
              <w:t xml:space="preserve">US$175 per user/month</w:t>
            </w:r>
          </w:p>
        </w:tc>
        <w:tc>
          <w:p>
            <w:pPr>
              <w:pStyle w:val="Compact"/>
              <w:jc w:val="right"/>
            </w:pPr>
            <w:r>
              <w:t xml:space="preserve">718</w:t>
            </w:r>
          </w:p>
        </w:tc>
        <w:tc>
          <w:p>
            <w:pPr>
              <w:pStyle w:val="Compact"/>
              <w:jc w:val="right"/>
            </w:pPr>
            <w:r>
              <w:t xml:space="preserve">387,500</w:t>
            </w:r>
          </w:p>
        </w:tc>
        <w:tc>
          <w:p>
            <w:pPr>
              <w:pStyle w:val="Compact"/>
              <w:jc w:val="center"/>
            </w:pPr>
            <w:r>
              <w:t xml:space="preserve">No</w:t>
            </w:r>
          </w:p>
        </w:tc>
        <w:tc>
          <w:p>
            <w:pPr>
              <w:pStyle w:val="Compact"/>
              <w:jc w:val="center"/>
            </w:pPr>
            <w:r>
              <w:t xml:space="preserve">No</w:t>
            </w:r>
          </w:p>
        </w:tc>
      </w:tr>
      <w:tr>
        <w:tc>
          <w:p>
            <w:pPr>
              <w:pStyle w:val="Compact"/>
              <w:jc w:val="left"/>
            </w:pPr>
            <w:hyperlink r:id="rId49">
              <w:r>
                <w:rPr>
                  <w:rStyle w:val="Hyperlink"/>
                </w:rPr>
                <w:t xml:space="preserve">TargetCRM</w:t>
              </w:r>
            </w:hyperlink>
            <w:r>
              <w:t xml:space="preserve"> </w:t>
            </w:r>
            <w:r>
              <w:t xml:space="preserve">(Xantec, Malaysia)</w:t>
            </w:r>
          </w:p>
        </w:tc>
        <w:tc>
          <w:p>
            <w:pPr>
              <w:pStyle w:val="Compact"/>
              <w:jc w:val="left"/>
            </w:pPr>
            <w:r>
              <w:t xml:space="preserve">Cloud subscription</w:t>
            </w:r>
          </w:p>
        </w:tc>
        <w:tc>
          <w:p>
            <w:pPr>
              <w:pStyle w:val="Compact"/>
              <w:jc w:val="left"/>
            </w:pPr>
            <w:r>
              <w:t xml:space="preserve">from RM 200/month</w:t>
            </w:r>
          </w:p>
        </w:tc>
        <w:tc>
          <w:p>
            <w:pPr>
              <w:pStyle w:val="Compact"/>
              <w:jc w:val="right"/>
            </w:pPr>
            <w:r>
              <w:t xml:space="preserve">local</w:t>
            </w:r>
          </w:p>
        </w:tc>
        <w:tc>
          <w:p>
            <w:pPr>
              <w:pStyle w:val="Compact"/>
              <w:jc w:val="right"/>
            </w:pPr>
            <w:r>
              <w:t xml:space="preserve">from 7,200</w:t>
            </w:r>
          </w:p>
        </w:tc>
        <w:tc>
          <w:p>
            <w:pPr>
              <w:pStyle w:val="Compact"/>
              <w:jc w:val="center"/>
            </w:pPr>
            <w:r>
              <w:t xml:space="preserve">No</w:t>
            </w:r>
          </w:p>
        </w:tc>
        <w:tc>
          <w:p>
            <w:pPr>
              <w:pStyle w:val="Compact"/>
              <w:jc w:val="center"/>
            </w:pPr>
            <w:r>
              <w:t xml:space="preserve">No</w:t>
            </w:r>
          </w:p>
        </w:tc>
      </w:tr>
      <w:tr>
        <w:tc>
          <w:p>
            <w:pPr>
              <w:pStyle w:val="Compact"/>
              <w:jc w:val="left"/>
            </w:pPr>
            <w:hyperlink r:id="rId50">
              <w:r>
                <w:rPr>
                  <w:rStyle w:val="Hyperlink"/>
                </w:rPr>
                <w:t xml:space="preserve">MyPoint CRM</w:t>
              </w:r>
            </w:hyperlink>
            <w:r>
              <w:t xml:space="preserve"> </w:t>
            </w:r>
            <w:r>
              <w:t xml:space="preserve">(Malaysia)</w:t>
            </w:r>
          </w:p>
        </w:tc>
        <w:tc>
          <w:p>
            <w:pPr>
              <w:pStyle w:val="Compact"/>
              <w:jc w:val="left"/>
            </w:pPr>
            <w:r>
              <w:t xml:space="preserve">Setup and subscription</w:t>
            </w:r>
          </w:p>
        </w:tc>
        <w:tc>
          <w:p>
            <w:pPr>
              <w:pStyle w:val="Compact"/>
              <w:jc w:val="left"/>
            </w:pPr>
            <w:r>
              <w:t xml:space="preserve">RM 8,000 setup plus RM 199/month</w:t>
            </w:r>
          </w:p>
        </w:tc>
        <w:tc>
          <w:p>
            <w:pPr>
              <w:pStyle w:val="Compact"/>
              <w:jc w:val="right"/>
            </w:pPr>
            <w:r>
              <w:t xml:space="preserve">local</w:t>
            </w:r>
          </w:p>
        </w:tc>
        <w:tc>
          <w:p>
            <w:pPr>
              <w:pStyle w:val="Compact"/>
              <w:jc w:val="right"/>
            </w:pPr>
            <w:r>
              <w:t xml:space="preserve">15,200</w:t>
            </w:r>
          </w:p>
        </w:tc>
        <w:tc>
          <w:p>
            <w:pPr>
              <w:pStyle w:val="Compact"/>
              <w:jc w:val="center"/>
            </w:pPr>
            <w:r>
              <w:t xml:space="preserve">No</w:t>
            </w:r>
          </w:p>
        </w:tc>
        <w:tc>
          <w:p>
            <w:pPr>
              <w:pStyle w:val="Compact"/>
              <w:jc w:val="center"/>
            </w:pPr>
            <w:r>
              <w:t xml:space="preserve">Shared</w:t>
            </w:r>
          </w:p>
        </w:tc>
      </w:tr>
    </w:tbl>
    <w:p>
      <w:pPr>
        <w:pStyle w:val="BodyText"/>
      </w:pPr>
      <w:r>
        <w:t xml:space="preserve">The Malaysian products listed above are economical but are standardised offerings on shared infrastructure with limited capacity for customisation; the provider of TargetCRM refers fully bespoke engineering to its parent company. The international products are capable but are licensed for each user, with the consequence that the cost increases with every additional member of staff and with each year of use, and that no asset is owned at the conclusion of the term.</w:t>
      </w:r>
    </w:p>
    <w:p>
      <w:pPr>
        <w:pStyle w:val="Heading3"/>
      </w:pPr>
      <w:bookmarkStart w:id="51" w:name="Xd702d9e80745f3b7015fd17c5aeabe96d6ae678"/>
      <w:r>
        <w:t xml:space="preserve">7.2 Bespoke, owned systems of comparable scope</w:t>
      </w:r>
      <w:bookmarkEnd w:id="51"/>
    </w:p>
    <w:tbl>
      <w:tblPr>
        <w:tblStyle w:val="Table"/>
        <w:tblW w:type="dxa" w:w="9070"/>
        <w:tblLook w:firstRow="1"/>
        <w:tblLayout w:type="fixed"/>
      </w:tblPr>
      <w:tblGrid>
        <w:gridCol w:w="2268"/>
        <w:gridCol w:w="2268"/>
        <w:gridCol w:w="2268"/>
        <w:gridCol w:w="2266"/>
      </w:tblGrid>
      <w:tr>
        <w:trPr>
          <w:cnfStyle w:firstRow="1"/>
        </w:trPr>
        <w:tc>
          <w:tcPr>
            <w:tcW w:type="dxa" w:w="2268"/>
            <w:tcBorders>
              <w:bottom w:val="single"/>
            </w:tcBorders>
            <w:vAlign w:val="bottom"/>
          </w:tcPr>
          <w:p>
            <w:pPr>
              <w:pStyle w:val="Compact"/>
              <w:jc w:val="left"/>
            </w:pPr>
            <w:r>
              <w:t xml:space="preserve">Provider</w:t>
            </w:r>
          </w:p>
        </w:tc>
        <w:tc>
          <w:tcPr>
            <w:tcW w:type="dxa" w:w="2268"/>
            <w:tcBorders>
              <w:bottom w:val="single"/>
            </w:tcBorders>
            <w:vAlign w:val="bottom"/>
          </w:tcPr>
          <w:p>
            <w:pPr>
              <w:pStyle w:val="Compact"/>
              <w:jc w:val="left"/>
            </w:pPr>
            <w:r>
              <w:t xml:space="preserve">Offering</w:t>
            </w:r>
          </w:p>
        </w:tc>
        <w:tc>
          <w:tcPr>
            <w:tcW w:type="dxa" w:w="2268"/>
            <w:tcBorders>
              <w:bottom w:val="single"/>
            </w:tcBorders>
            <w:vAlign w:val="bottom"/>
          </w:tcPr>
          <w:p>
            <w:pPr>
              <w:pStyle w:val="Compact"/>
              <w:jc w:val="left"/>
            </w:pPr>
            <w:r>
              <w:t xml:space="preserve">Quoted price for comparable scope</w:t>
            </w:r>
          </w:p>
        </w:tc>
        <w:tc>
          <w:tcPr>
            <w:tcW w:type="dxa" w:w="2266"/>
            <w:tcBorders>
              <w:bottom w:val="single"/>
            </w:tcBorders>
            <w:vAlign w:val="bottom"/>
          </w:tcPr>
          <w:p>
            <w:pPr>
              <w:pStyle w:val="Compact"/>
              <w:jc w:val="left"/>
            </w:pPr>
            <w:r>
              <w:t xml:space="preserve">Notes</w:t>
            </w:r>
          </w:p>
        </w:tc>
      </w:tr>
      <w:tr>
        <w:tc>
          <w:p>
            <w:pPr>
              <w:pStyle w:val="Compact"/>
              <w:jc w:val="left"/>
            </w:pPr>
            <w:hyperlink r:id="rId52">
              <w:r>
                <w:rPr>
                  <w:rStyle w:val="Hyperlink"/>
                </w:rPr>
                <w:t xml:space="preserve">Zoomo Tech</w:t>
              </w:r>
            </w:hyperlink>
            <w:r>
              <w:t xml:space="preserve"> </w:t>
            </w:r>
            <w:r>
              <w:t xml:space="preserve">(Malaysia)</w:t>
            </w:r>
          </w:p>
        </w:tc>
        <w:tc>
          <w:p>
            <w:pPr>
              <w:pStyle w:val="Compact"/>
              <w:jc w:val="left"/>
            </w:pPr>
            <w:r>
              <w:t xml:space="preserve">Custom ERP and CRM</w:t>
            </w:r>
          </w:p>
        </w:tc>
        <w:tc>
          <w:p>
            <w:pPr>
              <w:pStyle w:val="Compact"/>
              <w:jc w:val="left"/>
            </w:pPr>
            <w:r>
              <w:t xml:space="preserve">RM 100,000 (multi-department) to RM 300,000 (full integration)</w:t>
            </w:r>
          </w:p>
        </w:tc>
        <w:tc>
          <w:p>
            <w:pPr>
              <w:pStyle w:val="Compact"/>
              <w:jc w:val="left"/>
            </w:pPr>
            <w:r>
              <w:t xml:space="preserve">RM 30,000 procures a single isolated workflow only</w:t>
            </w:r>
          </w:p>
        </w:tc>
      </w:tr>
      <w:tr>
        <w:tc>
          <w:p>
            <w:pPr>
              <w:pStyle w:val="Compact"/>
              <w:jc w:val="left"/>
            </w:pPr>
            <w:hyperlink r:id="rId53">
              <w:r>
                <w:rPr>
                  <w:rStyle w:val="Hyperlink"/>
                </w:rPr>
                <w:t xml:space="preserve">Gotchaa Lab</w:t>
              </w:r>
            </w:hyperlink>
            <w:r>
              <w:t xml:space="preserve"> </w:t>
            </w:r>
            <w:r>
              <w:t xml:space="preserve">(Malaysia)</w:t>
            </w:r>
          </w:p>
        </w:tc>
        <w:tc>
          <w:p>
            <w:pPr>
              <w:pStyle w:val="Compact"/>
              <w:jc w:val="left"/>
            </w:pPr>
            <w:r>
              <w:t xml:space="preserve">Custom software</w:t>
            </w:r>
          </w:p>
        </w:tc>
        <w:tc>
          <w:p>
            <w:pPr>
              <w:pStyle w:val="Compact"/>
              <w:jc w:val="left"/>
            </w:pPr>
            <w:r>
              <w:t xml:space="preserve">RM 15,000 (minimum viable) to RM 300,000 and above</w:t>
            </w:r>
          </w:p>
        </w:tc>
        <w:tc>
          <w:p>
            <w:pPr>
              <w:pStyle w:val="Compact"/>
              <w:jc w:val="left"/>
            </w:pPr>
            <w:r>
              <w:t xml:space="preserve">Maintenance 15 to 25 percent per annum; integrations RM 3,000 to RM 15,000 each</w:t>
            </w:r>
          </w:p>
        </w:tc>
      </w:tr>
      <w:tr>
        <w:tc>
          <w:p>
            <w:pPr>
              <w:pStyle w:val="Compact"/>
              <w:jc w:val="left"/>
            </w:pPr>
            <w:hyperlink r:id="rId54">
              <w:r>
                <w:rPr>
                  <w:rStyle w:val="Hyperlink"/>
                </w:rPr>
                <w:t xml:space="preserve">Xantec Solutions</w:t>
              </w:r>
            </w:hyperlink>
            <w:r>
              <w:t xml:space="preserve"> </w:t>
            </w:r>
            <w:r>
              <w:t xml:space="preserve">(Malaysia)</w:t>
            </w:r>
          </w:p>
        </w:tc>
        <w:tc>
          <w:p>
            <w:pPr>
              <w:pStyle w:val="Compact"/>
              <w:jc w:val="left"/>
            </w:pPr>
            <w:r>
              <w:t xml:space="preserve">Bespoke engineering</w:t>
            </w:r>
          </w:p>
        </w:tc>
        <w:tc>
          <w:p>
            <w:pPr>
              <w:pStyle w:val="Compact"/>
              <w:jc w:val="left"/>
            </w:pPr>
            <w:r>
              <w:t xml:space="preserve">Enterprise, quoted on application</w:t>
            </w:r>
          </w:p>
        </w:tc>
        <w:tc>
          <w:p>
            <w:pPr>
              <w:pStyle w:val="Compact"/>
              <w:jc w:val="left"/>
            </w:pPr>
            <w:r>
              <w:t xml:space="preserve">Parent company of TargetCRM; undertakes fully bespoke builds</w:t>
            </w:r>
          </w:p>
        </w:tc>
      </w:tr>
      <w:tr>
        <w:tc>
          <w:p>
            <w:pPr>
              <w:pStyle w:val="Compact"/>
              <w:jc w:val="left"/>
            </w:pPr>
            <w:r>
              <w:t xml:space="preserve">Quandatics CRM (this proposal)</w:t>
            </w:r>
          </w:p>
        </w:tc>
        <w:tc>
          <w:p>
            <w:pPr>
              <w:pStyle w:val="Compact"/>
              <w:jc w:val="left"/>
            </w:pPr>
            <w:r>
              <w:t xml:space="preserve">Bespoke, fully owned, multi-module, reviewed for security</w:t>
            </w:r>
          </w:p>
        </w:tc>
        <w:tc>
          <w:p>
            <w:pPr>
              <w:pStyle w:val="Compact"/>
              <w:jc w:val="left"/>
            </w:pPr>
            <w:r>
              <w:t xml:space="preserve">RM 58,000, payable once</w:t>
            </w:r>
          </w:p>
        </w:tc>
        <w:tc>
          <w:p>
            <w:pPr>
              <w:pStyle w:val="Compact"/>
              <w:jc w:val="left"/>
            </w:pPr>
            <w:r>
              <w:t xml:space="preserve">Unlimited users; self-hosted; source code transferred</w:t>
            </w:r>
          </w:p>
        </w:tc>
      </w:tr>
    </w:tbl>
    <w:p>
      <w:pPr>
        <w:pStyle w:val="BodyText"/>
      </w:pPr>
      <w:r>
        <w:t xml:space="preserve">On the measure of capability, encompassing multiple modules, role-based access control, approval hierarchies, management-grade forecasting, database-level multi-tenancy, single sign-on, and a security review, the proposed platform is consistent with systems quoted by agencies at RM 100,000 and above. The fee proposed herein is substantially lower, for the reasons set out in Section 5.</w:t>
      </w:r>
    </w:p>
    <w:p>
      <w:pPr>
        <w:pStyle w:val="Heading3"/>
      </w:pPr>
      <w:bookmarkStart w:id="55" w:name="positioning-summary"/>
      <w:r>
        <w:t xml:space="preserve">7.3 Positioning summary</w:t>
      </w:r>
      <w:bookmarkEnd w:id="55"/>
    </w:p>
    <w:p>
      <w:pPr>
        <w:pStyle w:val="FirstParagraph"/>
      </w:pPr>
      <w:r>
        <w:t xml:space="preserve">An organisation with a small team requiring only a generic Customer Relationship Management function may find an off-the-shelf product less costly at the outset, and the Developer states this candidly.</w:t>
      </w:r>
    </w:p>
    <w:p>
      <w:pPr>
        <w:pStyle w:val="BodyText"/>
      </w:pPr>
      <w:r>
        <w:t xml:space="preserve">An organisation requiring a platform aligned precisely to its sales process, owned outright, self-hosted, and free of per-user charges as it grows, is appropriately served by a bespoke solution, within which category the present quotation is competitively priced.</w:t>
      </w:r>
    </w:p>
    <w:p>
      <w:pPr>
        <w:pStyle w:val="BodyText"/>
      </w:pPr>
      <w:r>
        <w:t xml:space="preserve">Measured against subscription products, the one-time fee is recovered within the first contract period. A comparison with Salesforce Sales Cloud Enterprise, at approximately RM 387,500 over three years for fifteen users, or with HubSpot Sales Hub Professional, at approximately RM 205,400, demonstrates a substantial saving, which increases as the workforce grows.</w:t>
      </w:r>
    </w:p>
    <w:p>
      <w:pPr>
        <w:pStyle w:val="Heading3"/>
      </w:pPr>
      <w:bookmarkStart w:id="56" w:name="basis-of-the-fee"/>
      <w:r>
        <w:t xml:space="preserve">7.4 Basis of the fee</w:t>
      </w:r>
      <w:bookmarkEnd w:id="56"/>
    </w:p>
    <w:p>
      <w:pPr>
        <w:pStyle w:val="FirstParagraph"/>
      </w:pPr>
      <w:r>
        <w:t xml:space="preserve">The quotation is constructed from the bottom upward, by estimating the effort associated with each module at a professional rate consistent with prevailing Malaysian rates for an independent senior developer, which range broadly from RM 60 to RM 250 per hour according to seniority (refer to the</w:t>
      </w:r>
      <w:r>
        <w:t xml:space="preserve"> </w:t>
      </w:r>
      <w:hyperlink r:id="rId57">
        <w:r>
          <w:rPr>
            <w:rStyle w:val="Hyperlink"/>
          </w:rPr>
          <w:t xml:space="preserve">Lemon.io Malaysia rate guide</w:t>
        </w:r>
      </w:hyperlink>
      <w:r>
        <w:t xml:space="preserve">). The fee is not calculated by reference to the number of users or seats; the Client pays once for the asset.</w:t>
      </w:r>
    </w:p>
    <w:p>
      <w:pPr>
        <w:pStyle w:val="Heading1"/>
      </w:pPr>
      <w:bookmarkStart w:id="58" w:name="quotation"/>
      <w:r>
        <w:t xml:space="preserve">8. Quotation</w:t>
      </w:r>
      <w:bookmarkEnd w:id="58"/>
    </w:p>
    <w:p>
      <w:pPr>
        <w:pStyle w:val="FirstParagraph"/>
      </w:pPr>
      <w:r>
        <w:t xml:space="preserve">The table below itemises the professional value attributed to each module, followed by the discount applied to arrive at the net fee.</w:t>
      </w:r>
    </w:p>
    <w:tbl>
      <w:tblPr>
        <w:tblStyle w:val="Table"/>
        <w:tblW w:type="dxa" w:w="9070"/>
        <w:tblLook w:firstRow="1"/>
        <w:tblLayout w:type="fixed"/>
      </w:tblPr>
      <w:tblGrid/>
      <w:tr>
        <w:trPr>
          <w:cnfStyle w:firstRow="1"/>
        </w:trPr>
        <w:tc>
          <w:tcPr>
            <w:tcBorders>
              <w:bottom w:val="single"/>
            </w:tcBorders>
            <w:vAlign w:val="bottom"/>
          </w:tcPr>
          <w:p>
            <w:pPr>
              <w:pStyle w:val="Compact"/>
              <w:jc w:val="right"/>
            </w:pPr>
            <w:r>
              <w:t xml:space="preserve">#</w:t>
            </w:r>
          </w:p>
        </w:tc>
        <w:tc>
          <w:tcPr>
            <w:tcBorders>
              <w:bottom w:val="single"/>
            </w:tcBorders>
            <w:vAlign w:val="bottom"/>
          </w:tcPr>
          <w:p>
            <w:pPr>
              <w:pStyle w:val="Compact"/>
              <w:jc w:val="left"/>
            </w:pPr>
            <w:r>
              <w:t xml:space="preserve">Deliverable or module</w:t>
            </w:r>
          </w:p>
        </w:tc>
        <w:tc>
          <w:tcPr>
            <w:tcBorders>
              <w:bottom w:val="single"/>
            </w:tcBorders>
            <w:vAlign w:val="bottom"/>
          </w:tcPr>
          <w:p>
            <w:pPr>
              <w:pStyle w:val="Compact"/>
              <w:jc w:val="right"/>
            </w:pPr>
            <w:r>
              <w:t xml:space="preserve">Amount (RM)</w:t>
            </w:r>
          </w:p>
        </w:tc>
      </w:tr>
      <w:tr>
        <w:tc>
          <w:p>
            <w:pPr>
              <w:pStyle w:val="Compact"/>
              <w:jc w:val="right"/>
            </w:pPr>
            <w:r>
              <w:t xml:space="preserve">1</w:t>
            </w:r>
          </w:p>
        </w:tc>
        <w:tc>
          <w:p>
            <w:pPr>
              <w:pStyle w:val="Compact"/>
              <w:jc w:val="left"/>
            </w:pPr>
            <w:r>
              <w:t xml:space="preserve">Foundation and multi-tenant infrastructure</w:t>
            </w:r>
          </w:p>
        </w:tc>
        <w:tc>
          <w:p>
            <w:pPr>
              <w:pStyle w:val="Compact"/>
              <w:jc w:val="right"/>
            </w:pPr>
            <w:r>
              <w:t xml:space="preserve">8,100</w:t>
            </w:r>
          </w:p>
        </w:tc>
      </w:tr>
      <w:tr>
        <w:tc>
          <w:p>
            <w:pPr>
              <w:pStyle w:val="Compact"/>
              <w:jc w:val="right"/>
            </w:pPr>
            <w:r>
              <w:t xml:space="preserve">2</w:t>
            </w:r>
          </w:p>
        </w:tc>
        <w:tc>
          <w:p>
            <w:pPr>
              <w:pStyle w:val="Compact"/>
              <w:jc w:val="left"/>
            </w:pPr>
            <w:r>
              <w:t xml:space="preserve">Authentication and Microsoft Entra single sign-on</w:t>
            </w:r>
          </w:p>
        </w:tc>
        <w:tc>
          <w:p>
            <w:pPr>
              <w:pStyle w:val="Compact"/>
              <w:jc w:val="right"/>
            </w:pPr>
            <w:r>
              <w:t xml:space="preserve">5,400</w:t>
            </w:r>
          </w:p>
        </w:tc>
      </w:tr>
      <w:tr>
        <w:tc>
          <w:p>
            <w:pPr>
              <w:pStyle w:val="Compact"/>
              <w:jc w:val="right"/>
            </w:pPr>
            <w:r>
              <w:t xml:space="preserve">3</w:t>
            </w:r>
          </w:p>
        </w:tc>
        <w:tc>
          <w:p>
            <w:pPr>
              <w:pStyle w:val="Compact"/>
              <w:jc w:val="left"/>
            </w:pPr>
            <w:r>
              <w:t xml:space="preserve">Roles, permissions, and reporting hierarchy</w:t>
            </w:r>
          </w:p>
        </w:tc>
        <w:tc>
          <w:p>
            <w:pPr>
              <w:pStyle w:val="Compact"/>
              <w:jc w:val="right"/>
            </w:pPr>
            <w:r>
              <w:t xml:space="preserve">6,300</w:t>
            </w:r>
          </w:p>
        </w:tc>
      </w:tr>
      <w:tr>
        <w:tc>
          <w:p>
            <w:pPr>
              <w:pStyle w:val="Compact"/>
              <w:jc w:val="right"/>
            </w:pPr>
            <w:r>
              <w:t xml:space="preserve">4</w:t>
            </w:r>
          </w:p>
        </w:tc>
        <w:tc>
          <w:p>
            <w:pPr>
              <w:pStyle w:val="Compact"/>
              <w:jc w:val="left"/>
            </w:pPr>
            <w:r>
              <w:t xml:space="preserve">Customer records: leads, accounts, and contacts</w:t>
            </w:r>
          </w:p>
        </w:tc>
        <w:tc>
          <w:p>
            <w:pPr>
              <w:pStyle w:val="Compact"/>
              <w:jc w:val="right"/>
            </w:pPr>
            <w:r>
              <w:t xml:space="preserve">8,100</w:t>
            </w:r>
          </w:p>
        </w:tc>
      </w:tr>
      <w:tr>
        <w:tc>
          <w:p>
            <w:pPr>
              <w:pStyle w:val="Compact"/>
              <w:jc w:val="right"/>
            </w:pPr>
            <w:r>
              <w:t xml:space="preserve">5</w:t>
            </w:r>
          </w:p>
        </w:tc>
        <w:tc>
          <w:p>
            <w:pPr>
              <w:pStyle w:val="Compact"/>
              <w:jc w:val="left"/>
            </w:pPr>
            <w:r>
              <w:t xml:space="preserve">Sales funnel and stage-gated approval engine</w:t>
            </w:r>
          </w:p>
        </w:tc>
        <w:tc>
          <w:p>
            <w:pPr>
              <w:pStyle w:val="Compact"/>
              <w:jc w:val="right"/>
            </w:pPr>
            <w:r>
              <w:t xml:space="preserve">7,200</w:t>
            </w:r>
          </w:p>
        </w:tc>
      </w:tr>
      <w:tr>
        <w:tc>
          <w:p>
            <w:pPr>
              <w:pStyle w:val="Compact"/>
              <w:jc w:val="right"/>
            </w:pPr>
            <w:r>
              <w:t xml:space="preserve">6</w:t>
            </w:r>
          </w:p>
        </w:tc>
        <w:tc>
          <w:p>
            <w:pPr>
              <w:pStyle w:val="Compact"/>
              <w:jc w:val="left"/>
            </w:pPr>
            <w:r>
              <w:t xml:space="preserve">Quotation engine, taxation, and record retention</w:t>
            </w:r>
          </w:p>
        </w:tc>
        <w:tc>
          <w:p>
            <w:pPr>
              <w:pStyle w:val="Compact"/>
              <w:jc w:val="right"/>
            </w:pPr>
            <w:r>
              <w:t xml:space="preserve">6,300</w:t>
            </w:r>
          </w:p>
        </w:tc>
      </w:tr>
      <w:tr>
        <w:tc>
          <w:p>
            <w:pPr>
              <w:pStyle w:val="Compact"/>
              <w:jc w:val="right"/>
            </w:pPr>
            <w:r>
              <w:t xml:space="preserve">7</w:t>
            </w:r>
          </w:p>
        </w:tc>
        <w:tc>
          <w:p>
            <w:pPr>
              <w:pStyle w:val="Compact"/>
              <w:jc w:val="left"/>
            </w:pPr>
            <w:r>
              <w:t xml:space="preserve">Sales orders and numbering</w:t>
            </w:r>
          </w:p>
        </w:tc>
        <w:tc>
          <w:p>
            <w:pPr>
              <w:pStyle w:val="Compact"/>
              <w:jc w:val="right"/>
            </w:pPr>
            <w:r>
              <w:t xml:space="preserve">4,000</w:t>
            </w:r>
          </w:p>
        </w:tc>
      </w:tr>
      <w:tr>
        <w:tc>
          <w:p>
            <w:pPr>
              <w:pStyle w:val="Compact"/>
              <w:jc w:val="right"/>
            </w:pPr>
            <w:r>
              <w:t xml:space="preserve">8</w:t>
            </w:r>
          </w:p>
        </w:tc>
        <w:tc>
          <w:p>
            <w:pPr>
              <w:pStyle w:val="Compact"/>
              <w:jc w:val="left"/>
            </w:pPr>
            <w:r>
              <w:t xml:space="preserve">Projects and milestones</w:t>
            </w:r>
          </w:p>
        </w:tc>
        <w:tc>
          <w:p>
            <w:pPr>
              <w:pStyle w:val="Compact"/>
              <w:jc w:val="right"/>
            </w:pPr>
            <w:r>
              <w:t xml:space="preserve">3,600</w:t>
            </w:r>
          </w:p>
        </w:tc>
      </w:tr>
      <w:tr>
        <w:tc>
          <w:p>
            <w:pPr>
              <w:pStyle w:val="Compact"/>
              <w:jc w:val="right"/>
            </w:pPr>
            <w:r>
              <w:t xml:space="preserve">9</w:t>
            </w:r>
          </w:p>
        </w:tc>
        <w:tc>
          <w:p>
            <w:pPr>
              <w:pStyle w:val="Compact"/>
              <w:jc w:val="left"/>
            </w:pPr>
            <w:r>
              <w:t xml:space="preserve">Billing forecast, dashboard, and reporting</w:t>
            </w:r>
          </w:p>
        </w:tc>
        <w:tc>
          <w:p>
            <w:pPr>
              <w:pStyle w:val="Compact"/>
              <w:jc w:val="right"/>
            </w:pPr>
            <w:r>
              <w:t xml:space="preserve">5,100</w:t>
            </w:r>
          </w:p>
        </w:tc>
      </w:tr>
      <w:tr>
        <w:tc>
          <w:p>
            <w:pPr>
              <w:pStyle w:val="Compact"/>
              <w:jc w:val="right"/>
            </w:pPr>
            <w:r>
              <w:t xml:space="preserve">10</w:t>
            </w:r>
          </w:p>
        </w:tc>
        <w:tc>
          <w:p>
            <w:pPr>
              <w:pStyle w:val="Compact"/>
              <w:jc w:val="left"/>
            </w:pPr>
            <w:r>
              <w:t xml:space="preserve">Audit trail and compliance log</w:t>
            </w:r>
          </w:p>
        </w:tc>
        <w:tc>
          <w:p>
            <w:pPr>
              <w:pStyle w:val="Compact"/>
              <w:jc w:val="right"/>
            </w:pPr>
            <w:r>
              <w:t xml:space="preserve">2,300</w:t>
            </w:r>
          </w:p>
        </w:tc>
      </w:tr>
      <w:tr>
        <w:tc>
          <w:p>
            <w:pPr>
              <w:pStyle w:val="Compact"/>
              <w:jc w:val="right"/>
            </w:pPr>
            <w:r>
              <w:t xml:space="preserve">11</w:t>
            </w:r>
          </w:p>
        </w:tc>
        <w:tc>
          <w:p>
            <w:pPr>
              <w:pStyle w:val="Compact"/>
              <w:jc w:val="left"/>
            </w:pPr>
            <w:r>
              <w:t xml:space="preserve">User interface and design system</w:t>
            </w:r>
          </w:p>
        </w:tc>
        <w:tc>
          <w:p>
            <w:pPr>
              <w:pStyle w:val="Compact"/>
              <w:jc w:val="right"/>
            </w:pPr>
            <w:r>
              <w:t xml:space="preserve">8,100</w:t>
            </w:r>
          </w:p>
        </w:tc>
      </w:tr>
      <w:tr>
        <w:tc>
          <w:p>
            <w:pPr>
              <w:pStyle w:val="Compact"/>
              <w:jc w:val="right"/>
            </w:pPr>
            <w:r>
              <w:t xml:space="preserve">12</w:t>
            </w:r>
          </w:p>
        </w:tc>
        <w:tc>
          <w:p>
            <w:pPr>
              <w:pStyle w:val="Compact"/>
              <w:jc w:val="left"/>
            </w:pPr>
            <w:r>
              <w:t xml:space="preserve">Security and correctness review</w:t>
            </w:r>
          </w:p>
        </w:tc>
        <w:tc>
          <w:p>
            <w:pPr>
              <w:pStyle w:val="Compact"/>
              <w:jc w:val="right"/>
            </w:pPr>
            <w:r>
              <w:t xml:space="preserve">5,400</w:t>
            </w:r>
          </w:p>
        </w:tc>
      </w:tr>
      <w:tr>
        <w:tc>
          <w:p>
            <w:pPr>
              <w:pStyle w:val="Compact"/>
              <w:jc w:val="right"/>
            </w:pPr>
            <w:r>
              <w:t xml:space="preserve">13</w:t>
            </w:r>
          </w:p>
        </w:tc>
        <w:tc>
          <w:p>
            <w:pPr>
              <w:pStyle w:val="Compact"/>
              <w:jc w:val="left"/>
            </w:pPr>
            <w:r>
              <w:t xml:space="preserve">Quality assurance, deployment, documentation, and training</w:t>
            </w:r>
          </w:p>
        </w:tc>
        <w:tc>
          <w:p>
            <w:pPr>
              <w:pStyle w:val="Compact"/>
              <w:jc w:val="right"/>
            </w:pPr>
            <w:r>
              <w:t xml:space="preserve">5,100</w:t>
            </w:r>
          </w:p>
        </w:tc>
      </w:tr>
      <w:tr>
        <w:tc>
          <w:p/>
        </w:tc>
        <w:tc>
          <w:p>
            <w:pPr>
              <w:pStyle w:val="Compact"/>
              <w:jc w:val="left"/>
            </w:pPr>
            <w:r>
              <w:t xml:space="preserve">Subtotal (professional value)</w:t>
            </w:r>
          </w:p>
        </w:tc>
        <w:tc>
          <w:p>
            <w:pPr>
              <w:pStyle w:val="Compact"/>
              <w:jc w:val="right"/>
            </w:pPr>
            <w:r>
              <w:t xml:space="preserve">75,000</w:t>
            </w:r>
          </w:p>
        </w:tc>
      </w:tr>
    </w:tbl>
    <w:p>
      <w:pPr>
        <w:pStyle w:val="BodyText"/>
      </w:pPr>
      <w:r>
        <w:t xml:space="preserve">Discount applied:</w:t>
      </w:r>
    </w:p>
    <w:tbl>
      <w:tblPr>
        <w:tblStyle w:val="Table"/>
        <w:tblW w:type="dxa" w:w="9070"/>
        <w:tblLook w:firstRow="1"/>
        <w:tblLayout w:type="fixed"/>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Amount (RM)</w:t>
            </w:r>
          </w:p>
        </w:tc>
      </w:tr>
      <w:tr>
        <w:tc>
          <w:p>
            <w:pPr>
              <w:pStyle w:val="Compact"/>
              <w:jc w:val="left"/>
            </w:pPr>
            <w:r>
              <w:t xml:space="preserve">Subtotal</w:t>
            </w:r>
          </w:p>
        </w:tc>
        <w:tc>
          <w:p>
            <w:pPr>
              <w:pStyle w:val="Compact"/>
              <w:jc w:val="right"/>
            </w:pPr>
            <w:r>
              <w:t xml:space="preserve">75,000</w:t>
            </w:r>
          </w:p>
        </w:tc>
      </w:tr>
      <w:tr>
        <w:tc>
          <w:p>
            <w:pPr>
              <w:pStyle w:val="Compact"/>
              <w:jc w:val="left"/>
            </w:pPr>
            <w:r>
              <w:t xml:space="preserve">Less: independent-developer and SME engagement discount (20%)</w:t>
            </w:r>
          </w:p>
        </w:tc>
        <w:tc>
          <w:p>
            <w:pPr>
              <w:pStyle w:val="Compact"/>
              <w:jc w:val="right"/>
            </w:pPr>
            <w:r>
              <w:t xml:space="preserve">−15,000</w:t>
            </w:r>
          </w:p>
        </w:tc>
      </w:tr>
      <w:tr>
        <w:tc>
          <w:p>
            <w:pPr>
              <w:pStyle w:val="Compact"/>
              <w:jc w:val="left"/>
            </w:pPr>
            <w:r>
              <w:t xml:space="preserve">Running balance</w:t>
            </w:r>
          </w:p>
        </w:tc>
        <w:tc>
          <w:p>
            <w:pPr>
              <w:pStyle w:val="Compact"/>
              <w:jc w:val="right"/>
            </w:pPr>
            <w:r>
              <w:t xml:space="preserve">60,000</w:t>
            </w:r>
          </w:p>
        </w:tc>
      </w:tr>
      <w:tr>
        <w:tc>
          <w:p>
            <w:pPr>
              <w:pStyle w:val="Compact"/>
              <w:jc w:val="left"/>
            </w:pPr>
            <w:r>
              <w:t xml:space="preserve">Less: early-commitment goodwill adjustment</w:t>
            </w:r>
          </w:p>
        </w:tc>
        <w:tc>
          <w:p>
            <w:pPr>
              <w:pStyle w:val="Compact"/>
              <w:jc w:val="right"/>
            </w:pPr>
            <w:r>
              <w:t xml:space="preserve">−2,000</w:t>
            </w:r>
          </w:p>
        </w:tc>
      </w:tr>
      <w:tr>
        <w:tc>
          <w:p>
            <w:pPr>
              <w:pStyle w:val="Compact"/>
              <w:jc w:val="left"/>
            </w:pPr>
            <w:r>
              <w:t xml:space="preserve">Net fee, payable once (exclusive of SST)</w:t>
            </w:r>
          </w:p>
        </w:tc>
        <w:tc>
          <w:p>
            <w:pPr>
              <w:pStyle w:val="Compact"/>
              <w:jc w:val="right"/>
            </w:pPr>
            <w:r>
              <w:t xml:space="preserve">58,000</w:t>
            </w:r>
          </w:p>
        </w:tc>
      </w:tr>
    </w:tbl>
    <w:p>
      <w:pPr>
        <w:pStyle w:val="BodyText"/>
      </w:pPr>
      <w:r>
        <w:t xml:space="preserve">The net fee of RM 58,000 represents a reduction of RM 17,000, or approximately 23 percent, against the assessed professional value. All amounts are exclusive of Sales and Service Tax (currently 8 percent) where applicable.</w:t>
      </w:r>
    </w:p>
    <w:p>
      <w:pPr>
        <w:pStyle w:val="BodyText"/>
      </w:pPr>
      <w:r>
        <w:t xml:space="preserve">Phased alternative. Should the Client prefer to commence with a reduced initial commitment, the engagement may be contracted in two phases: Phase 1 (Core platform) at RM 38,000, and Phase 2 (Operations and intelligence) at RM 20,000, with Phase 2 confirmed once Phase 1 has been placed into service.</w:t>
      </w:r>
    </w:p>
    <w:p>
      <w:pPr>
        <w:pStyle w:val="Heading1"/>
      </w:pPr>
      <w:bookmarkStart w:id="59" w:name="delivery-optional-services-and-payment"/>
      <w:r>
        <w:t xml:space="preserve">9. Delivery, optional services, and payment</w:t>
      </w:r>
      <w:bookmarkEnd w:id="59"/>
    </w:p>
    <w:p>
      <w:pPr>
        <w:pStyle w:val="Heading3"/>
      </w:pPr>
      <w:bookmarkStart w:id="60" w:name="delivery-approach-and-timeline"/>
      <w:r>
        <w:t xml:space="preserve">9.1 Delivery approach and timeline</w:t>
      </w:r>
      <w:bookmarkEnd w:id="60"/>
    </w:p>
    <w:p>
      <w:pPr>
        <w:pStyle w:val="FirstParagraph"/>
      </w:pPr>
      <w:r>
        <w:t xml:space="preserve">The platform is delivered in two phases, so that value is realised early and the Client retains control of expenditure.</w:t>
      </w:r>
    </w:p>
    <w:tbl>
      <w:tblPr>
        <w:tblStyle w:val="Table"/>
        <w:tblW w:type="dxa" w:w="9070"/>
        <w:tblLook w:firstRow="1"/>
        <w:tblLayout w:type="fixed"/>
      </w:tblPr>
      <w:tblGrid>
        <w:gridCol w:w="1967"/>
        <w:gridCol w:w="6503"/>
        <w:gridCol w:w="600"/>
      </w:tblGrid>
      <w:tr>
        <w:trPr>
          <w:cnfStyle w:firstRow="1"/>
        </w:trPr>
        <w:tc>
          <w:tcPr>
            <w:tcW w:type="dxa" w:w="1967"/>
            <w:tcBorders>
              <w:bottom w:val="single"/>
            </w:tcBorders>
            <w:vAlign w:val="bottom"/>
          </w:tcPr>
          <w:p>
            <w:pPr>
              <w:pStyle w:val="Compact"/>
              <w:jc w:val="left"/>
            </w:pPr>
            <w:r>
              <w:t xml:space="preserve">Phase</w:t>
            </w:r>
          </w:p>
        </w:tc>
        <w:tc>
          <w:tcPr>
            <w:tcW w:type="dxa" w:w="6503"/>
            <w:tcBorders>
              <w:bottom w:val="single"/>
            </w:tcBorders>
            <w:vAlign w:val="bottom"/>
          </w:tcPr>
          <w:p>
            <w:pPr>
              <w:pStyle w:val="Compact"/>
              <w:jc w:val="left"/>
            </w:pPr>
            <w:r>
              <w:t xml:space="preserve">Scope</w:t>
            </w:r>
          </w:p>
        </w:tc>
        <w:tc>
          <w:tcPr>
            <w:tcW w:type="dxa" w:w="600"/>
            <w:tcBorders>
              <w:bottom w:val="single"/>
            </w:tcBorders>
            <w:vAlign w:val="bottom"/>
          </w:tcPr>
          <w:p>
            <w:pPr>
              <w:pStyle w:val="Compact"/>
              <w:jc w:val="left"/>
            </w:pPr>
            <w:r>
              <w:t xml:space="preserve">Duration</w:t>
            </w:r>
          </w:p>
        </w:tc>
      </w:tr>
      <w:tr>
        <w:tc>
          <w:p>
            <w:pPr>
              <w:pStyle w:val="Compact"/>
              <w:jc w:val="left"/>
            </w:pPr>
            <w:r>
              <w:t xml:space="preserve">0. Discovery and design</w:t>
            </w:r>
          </w:p>
        </w:tc>
        <w:tc>
          <w:p>
            <w:pPr>
              <w:pStyle w:val="Compact"/>
              <w:jc w:val="left"/>
            </w:pPr>
            <w:r>
              <w:t xml:space="preserve">Confirmation of requirements, review of the data model and processes, and agreement of the interface direction</w:t>
            </w:r>
          </w:p>
        </w:tc>
        <w:tc>
          <w:p>
            <w:pPr>
              <w:pStyle w:val="Compact"/>
              <w:jc w:val="left"/>
            </w:pPr>
            <w:r>
              <w:t xml:space="preserve">1 to 2 weeks</w:t>
            </w:r>
          </w:p>
        </w:tc>
      </w:tr>
      <w:tr>
        <w:tc>
          <w:p>
            <w:pPr>
              <w:pStyle w:val="Compact"/>
              <w:jc w:val="left"/>
            </w:pPr>
            <w:r>
              <w:t xml:space="preserve">1. Core platform</w:t>
            </w:r>
          </w:p>
        </w:tc>
        <w:tc>
          <w:p>
            <w:pPr>
              <w:pStyle w:val="Compact"/>
              <w:jc w:val="left"/>
            </w:pPr>
            <w:r>
              <w:t xml:space="preserve">Infrastructure, authentication, access control, customer records, funnel and approvals, quotation engine, and interface</w:t>
            </w:r>
          </w:p>
        </w:tc>
        <w:tc>
          <w:p>
            <w:pPr>
              <w:pStyle w:val="Compact"/>
              <w:jc w:val="left"/>
            </w:pPr>
            <w:r>
              <w:t xml:space="preserve">6 to 8 weeks</w:t>
            </w:r>
          </w:p>
        </w:tc>
      </w:tr>
      <w:tr>
        <w:tc>
          <w:p>
            <w:pPr>
              <w:pStyle w:val="Compact"/>
              <w:jc w:val="left"/>
            </w:pPr>
            <w:r>
              <w:t xml:space="preserve">2. Operations and intelligence</w:t>
            </w:r>
          </w:p>
        </w:tc>
        <w:tc>
          <w:p>
            <w:pPr>
              <w:pStyle w:val="Compact"/>
              <w:jc w:val="left"/>
            </w:pPr>
            <w:r>
              <w:t xml:space="preserve">Sales orders, projects and milestones, forecasting and reporting, audit trail, security hardening, and quality assurance</w:t>
            </w:r>
          </w:p>
        </w:tc>
        <w:tc>
          <w:p>
            <w:pPr>
              <w:pStyle w:val="Compact"/>
              <w:jc w:val="left"/>
            </w:pPr>
            <w:r>
              <w:t xml:space="preserve">4 to 6 weeks</w:t>
            </w:r>
          </w:p>
        </w:tc>
      </w:tr>
      <w:tr>
        <w:tc>
          <w:p>
            <w:pPr>
              <w:pStyle w:val="Compact"/>
              <w:jc w:val="left"/>
            </w:pPr>
            <w:r>
              <w:t xml:space="preserve">Go-live and training</w:t>
            </w:r>
          </w:p>
        </w:tc>
        <w:tc>
          <w:p>
            <w:pPr>
              <w:pStyle w:val="Compact"/>
              <w:jc w:val="left"/>
            </w:pPr>
            <w:r>
              <w:t xml:space="preserve">Deployment to production, documentation, training, and initial support</w:t>
            </w:r>
          </w:p>
        </w:tc>
        <w:tc>
          <w:p>
            <w:pPr>
              <w:pStyle w:val="Compact"/>
              <w:jc w:val="left"/>
            </w:pPr>
            <w:r>
              <w:t xml:space="preserve">1 week</w:t>
            </w:r>
          </w:p>
        </w:tc>
      </w:tr>
    </w:tbl>
    <w:p>
      <w:pPr>
        <w:pStyle w:val="BodyText"/>
      </w:pPr>
      <w:r>
        <w:t xml:space="preserve">The indicative total duration is twelve to seventeen weeks from the date of commencement, subject to the timely provision of feedback and content by the Client.</w:t>
      </w:r>
    </w:p>
    <w:p>
      <w:pPr>
        <w:pStyle w:val="Heading3"/>
      </w:pPr>
      <w:bookmarkStart w:id="61" w:name="optional-services"/>
      <w:r>
        <w:t xml:space="preserve">9.2 Optional services</w:t>
      </w:r>
      <w:bookmarkEnd w:id="61"/>
    </w:p>
    <w:p>
      <w:pPr>
        <w:pStyle w:val="FirstParagraph"/>
      </w:pPr>
      <w:r>
        <w:t xml:space="preserve">The following services are available in addition to the scope set out above and are charged separately.</w:t>
      </w:r>
    </w:p>
    <w:tbl>
      <w:tblPr>
        <w:tblStyle w:val="Table"/>
        <w:tblW w:type="dxa" w:w="9070"/>
        <w:tblLook w:firstRow="1"/>
        <w:tblLayout w:type="fixed"/>
      </w:tblPr>
      <w:tblGrid>
        <w:gridCol w:w="6746"/>
        <w:gridCol w:w="2324"/>
      </w:tblGrid>
      <w:tr>
        <w:trPr>
          <w:cnfStyle w:firstRow="1"/>
        </w:trPr>
        <w:tc>
          <w:tcPr>
            <w:tcW w:type="dxa" w:w="6746"/>
            <w:tcBorders>
              <w:bottom w:val="single"/>
            </w:tcBorders>
            <w:vAlign w:val="bottom"/>
          </w:tcPr>
          <w:p>
            <w:pPr>
              <w:pStyle w:val="Compact"/>
              <w:jc w:val="left"/>
            </w:pPr>
            <w:r>
              <w:t xml:space="preserve">Service</w:t>
            </w:r>
          </w:p>
        </w:tc>
        <w:tc>
          <w:tcPr>
            <w:tcW w:type="dxa" w:w="2324"/>
            <w:tcBorders>
              <w:bottom w:val="single"/>
            </w:tcBorders>
            <w:vAlign w:val="bottom"/>
          </w:tcPr>
          <w:p>
            <w:pPr>
              <w:pStyle w:val="Compact"/>
              <w:jc w:val="right"/>
            </w:pPr>
            <w:r>
              <w:t xml:space="preserve">Charge (RM)</w:t>
            </w:r>
          </w:p>
        </w:tc>
      </w:tr>
      <w:tr>
        <w:tc>
          <w:p>
            <w:pPr>
              <w:pStyle w:val="Compact"/>
              <w:jc w:val="left"/>
            </w:pPr>
            <w:r>
              <w:t xml:space="preserve">LHDN MyInvois electronic-invoicing integration</w:t>
            </w:r>
          </w:p>
        </w:tc>
        <w:tc>
          <w:p>
            <w:pPr>
              <w:pStyle w:val="Compact"/>
              <w:jc w:val="right"/>
            </w:pPr>
            <w:r>
              <w:t xml:space="preserve">charged at the hourly rate</w:t>
            </w:r>
          </w:p>
        </w:tc>
      </w:tr>
      <w:tr>
        <w:tc>
          <w:p>
            <w:pPr>
              <w:pStyle w:val="Compact"/>
              <w:jc w:val="left"/>
            </w:pPr>
            <w:r>
              <w:t xml:space="preserve">Data migration from existing systems or spreadsheets</w:t>
            </w:r>
          </w:p>
        </w:tc>
        <w:tc>
          <w:p>
            <w:pPr>
              <w:pStyle w:val="Compact"/>
              <w:jc w:val="right"/>
            </w:pPr>
            <w:r>
              <w:t xml:space="preserve">charged at the hourly rate</w:t>
            </w:r>
          </w:p>
        </w:tc>
      </w:tr>
      <w:tr>
        <w:tc>
          <w:p>
            <w:pPr>
              <w:pStyle w:val="Compact"/>
              <w:jc w:val="left"/>
            </w:pPr>
            <w:r>
              <w:t xml:space="preserve">Annual maintenance and support plan</w:t>
            </w:r>
          </w:p>
        </w:tc>
        <w:tc>
          <w:p>
            <w:pPr>
              <w:pStyle w:val="Compact"/>
              <w:jc w:val="right"/>
            </w:pPr>
            <w:r>
              <w:t xml:space="preserve">9,600 per annum (800/month)</w:t>
            </w:r>
          </w:p>
        </w:tc>
      </w:tr>
      <w:tr>
        <w:tc>
          <w:p>
            <w:pPr>
              <w:pStyle w:val="Compact"/>
              <w:jc w:val="left"/>
            </w:pPr>
            <w:r>
              <w:t xml:space="preserve">Managed hosting, including backups, monitoring, and certificates</w:t>
            </w:r>
          </w:p>
        </w:tc>
        <w:tc>
          <w:p>
            <w:pPr>
              <w:pStyle w:val="Compact"/>
              <w:jc w:val="right"/>
            </w:pPr>
            <w:r>
              <w:t xml:space="preserve">from 350 per month</w:t>
            </w:r>
          </w:p>
        </w:tc>
      </w:tr>
      <w:tr>
        <w:tc>
          <w:p>
            <w:pPr>
              <w:pStyle w:val="Compact"/>
              <w:jc w:val="left"/>
            </w:pPr>
            <w:r>
              <w:t xml:space="preserve">Additional training session, on site or remote</w:t>
            </w:r>
          </w:p>
        </w:tc>
        <w:tc>
          <w:p>
            <w:pPr>
              <w:pStyle w:val="Compact"/>
              <w:jc w:val="right"/>
            </w:pPr>
            <w:r>
              <w:t xml:space="preserve">1,000 per session</w:t>
            </w:r>
          </w:p>
        </w:tc>
      </w:tr>
      <w:tr>
        <w:tc>
          <w:p>
            <w:pPr>
              <w:pStyle w:val="Compact"/>
              <w:jc w:val="left"/>
            </w:pPr>
            <w:r>
              <w:t xml:space="preserve">Ad-hoc development and change requests after go-live</w:t>
            </w:r>
          </w:p>
        </w:tc>
        <w:tc>
          <w:p>
            <w:pPr>
              <w:pStyle w:val="Compact"/>
              <w:jc w:val="right"/>
            </w:pPr>
            <w:r>
              <w:t xml:space="preserve">120 per hour</w:t>
            </w:r>
          </w:p>
        </w:tc>
      </w:tr>
    </w:tbl>
    <w:p>
      <w:pPr>
        <w:pStyle w:val="BodyText"/>
      </w:pPr>
      <w:r>
        <w:t xml:space="preserve">The hourly professional services rate is RM 120 per hour. Data migration and electronic-invoicing integration are charged at this rate, with the estimated effort confirmed following an assessment of the source data and the integration requirements. The annual maintenance and support plan, at approximately 16 percent of the net fee, is set below the customary Malaysian range of 15 to 25 percent.</w:t>
      </w:r>
    </w:p>
    <w:p>
      <w:pPr>
        <w:pStyle w:val="Heading3"/>
      </w:pPr>
      <w:bookmarkStart w:id="62" w:name="payment-schedule"/>
      <w:r>
        <w:t xml:space="preserve">9.3 Payment schedule</w:t>
      </w:r>
      <w:bookmarkEnd w:id="62"/>
    </w:p>
    <w:tbl>
      <w:tblPr>
        <w:tblStyle w:val="Table"/>
        <w:tblW w:type="dxa" w:w="9070"/>
        <w:tblLook w:firstRow="1"/>
        <w:tblLayout w:type="fixed"/>
      </w:tblPr>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right"/>
            </w:pPr>
            <w:r>
              <w:t xml:space="preserve">Percentage</w:t>
            </w:r>
          </w:p>
        </w:tc>
        <w:tc>
          <w:tcPr>
            <w:tcBorders>
              <w:bottom w:val="single"/>
            </w:tcBorders>
            <w:vAlign w:val="bottom"/>
          </w:tcPr>
          <w:p>
            <w:pPr>
              <w:pStyle w:val="Compact"/>
              <w:jc w:val="right"/>
            </w:pPr>
            <w:r>
              <w:t xml:space="preserve">Amount (RM)</w:t>
            </w:r>
          </w:p>
        </w:tc>
      </w:tr>
      <w:tr>
        <w:tc>
          <w:p>
            <w:pPr>
              <w:pStyle w:val="Compact"/>
              <w:jc w:val="left"/>
            </w:pPr>
            <w:r>
              <w:t xml:space="preserve">Upon execution of the agreement (deposit)</w:t>
            </w:r>
          </w:p>
        </w:tc>
        <w:tc>
          <w:p>
            <w:pPr>
              <w:pStyle w:val="Compact"/>
              <w:jc w:val="right"/>
            </w:pPr>
            <w:r>
              <w:t xml:space="preserve">40%</w:t>
            </w:r>
          </w:p>
        </w:tc>
        <w:tc>
          <w:p>
            <w:pPr>
              <w:pStyle w:val="Compact"/>
              <w:jc w:val="right"/>
            </w:pPr>
            <w:r>
              <w:t xml:space="preserve">23,200</w:t>
            </w:r>
          </w:p>
        </w:tc>
      </w:tr>
      <w:tr>
        <w:tc>
          <w:p>
            <w:pPr>
              <w:pStyle w:val="Compact"/>
              <w:jc w:val="left"/>
            </w:pPr>
            <w:r>
              <w:t xml:space="preserve">Upon acceptance at staging</w:t>
            </w:r>
          </w:p>
        </w:tc>
        <w:tc>
          <w:p>
            <w:pPr>
              <w:pStyle w:val="Compact"/>
              <w:jc w:val="right"/>
            </w:pPr>
            <w:r>
              <w:t xml:space="preserve">30%</w:t>
            </w:r>
          </w:p>
        </w:tc>
        <w:tc>
          <w:p>
            <w:pPr>
              <w:pStyle w:val="Compact"/>
              <w:jc w:val="right"/>
            </w:pPr>
            <w:r>
              <w:t xml:space="preserve">17,400</w:t>
            </w:r>
          </w:p>
        </w:tc>
      </w:tr>
      <w:tr>
        <w:tc>
          <w:p>
            <w:pPr>
              <w:pStyle w:val="Compact"/>
              <w:jc w:val="left"/>
            </w:pPr>
            <w:r>
              <w:t xml:space="preserve">Upon deployment to production and handover</w:t>
            </w:r>
          </w:p>
        </w:tc>
        <w:tc>
          <w:p>
            <w:pPr>
              <w:pStyle w:val="Compact"/>
              <w:jc w:val="right"/>
            </w:pPr>
            <w:r>
              <w:t xml:space="preserve">30%</w:t>
            </w:r>
          </w:p>
        </w:tc>
        <w:tc>
          <w:p>
            <w:pPr>
              <w:pStyle w:val="Compact"/>
              <w:jc w:val="right"/>
            </w:pPr>
            <w:r>
              <w:t xml:space="preserve">17,400</w:t>
            </w:r>
          </w:p>
        </w:tc>
      </w:tr>
      <w:tr>
        <w:tc>
          <w:p>
            <w:pPr>
              <w:pStyle w:val="Compact"/>
              <w:jc w:val="left"/>
            </w:pPr>
            <w:r>
              <w:t xml:space="preserve">Total</w:t>
            </w:r>
          </w:p>
        </w:tc>
        <w:tc>
          <w:p>
            <w:pPr>
              <w:pStyle w:val="Compact"/>
              <w:jc w:val="right"/>
            </w:pPr>
            <w:r>
              <w:t xml:space="preserve">100%</w:t>
            </w:r>
          </w:p>
        </w:tc>
        <w:tc>
          <w:p>
            <w:pPr>
              <w:pStyle w:val="Compact"/>
              <w:jc w:val="right"/>
            </w:pPr>
            <w:r>
              <w:t xml:space="preserve">58,000</w:t>
            </w:r>
          </w:p>
        </w:tc>
      </w:tr>
    </w:tbl>
    <w:p>
      <w:pPr>
        <w:pStyle w:val="BodyText"/>
      </w:pPr>
      <w:r>
        <w:t xml:space="preserve">Invoices are payable within fourteen (14) days of issue. The maintenance plan and hosting, if elected, are invoiced separately from the point of go-live.</w:t>
      </w:r>
    </w:p>
    <w:p>
      <w:pPr>
        <w:pStyle w:val="Heading1"/>
      </w:pPr>
      <w:bookmarkStart w:id="63" w:name="assumptions-and-exclusions"/>
      <w:r>
        <w:t xml:space="preserve">10. Assumptions and exclusions</w:t>
      </w:r>
      <w:bookmarkEnd w:id="63"/>
    </w:p>
    <w:p>
      <w:pPr>
        <w:pStyle w:val="FirstParagraph"/>
      </w:pPr>
      <w:r>
        <w:t xml:space="preserve">The quotation assumes the scope described in Section 4. Material additional requirements are quoted separately or charged at the hourly professional services rate.</w:t>
      </w:r>
    </w:p>
    <w:p>
      <w:pPr>
        <w:pStyle w:val="BodyText"/>
      </w:pPr>
      <w:r>
        <w:t xml:space="preserve">The Client shall provide timely feedback, the necessary content and branding materials, and a single point of contact authorised to make decisions.</w:t>
      </w:r>
    </w:p>
    <w:p>
      <w:pPr>
        <w:pStyle w:val="BodyText"/>
      </w:pPr>
      <w:r>
        <w:t xml:space="preserve">Third-party costs, including cloud hosting, domain registration, Microsoft licensing, and electronic-mail or messaging providers, are borne by the Client unless otherwise stated.</w:t>
      </w:r>
    </w:p>
    <w:p>
      <w:pPr>
        <w:pStyle w:val="BodyText"/>
      </w:pPr>
      <w:r>
        <w:t xml:space="preserve">Integrations other than those expressly listed are excluded and quoted upon request.</w:t>
      </w:r>
    </w:p>
    <w:p>
      <w:pPr>
        <w:pStyle w:val="BodyText"/>
      </w:pPr>
      <w:r>
        <w:t xml:space="preserve">All amounts are exclusive of Sales and Service Tax where applicable.</w:t>
      </w:r>
    </w:p>
    <w:p>
      <w:pPr>
        <w:pStyle w:val="BodyText"/>
      </w:pPr>
      <w:r>
        <w:t xml:space="preserve">One consolidated round of revisions is included for each delivered phase; further rounds are charged at the hourly rate.</w:t>
      </w:r>
    </w:p>
    <w:p>
      <w:pPr>
        <w:pStyle w:val="Heading1"/>
      </w:pPr>
      <w:bookmarkStart w:id="64" w:name="terms-and-conditions"/>
      <w:r>
        <w:t xml:space="preserve">11. Terms and conditions</w:t>
      </w:r>
      <w:bookmarkEnd w:id="64"/>
    </w:p>
    <w:p>
      <w:pPr>
        <w:numPr>
          <w:ilvl w:val="0"/>
          <w:numId w:val="1001"/>
        </w:numPr>
        <w:pStyle w:val="Compact"/>
      </w:pPr>
      <w:r>
        <w:t xml:space="preserve">Validity. This quotation is valid for thirty (30) days from the date of issue.</w:t>
      </w:r>
    </w:p>
    <w:p>
      <w:pPr>
        <w:numPr>
          <w:ilvl w:val="0"/>
          <w:numId w:val="1001"/>
        </w:numPr>
        <w:pStyle w:val="Compact"/>
      </w:pPr>
      <w:r>
        <w:t xml:space="preserve">Intellectual property. Upon full and final payment, all custom source code and deliverables are transferred to the Client. Pre-existing open-source components remain subject to their respective licences.</w:t>
      </w:r>
    </w:p>
    <w:p>
      <w:pPr>
        <w:numPr>
          <w:ilvl w:val="0"/>
          <w:numId w:val="1001"/>
        </w:numPr>
        <w:pStyle w:val="Compact"/>
      </w:pPr>
      <w:r>
        <w:t xml:space="preserve">Deposit. The deposit of 40 percent is required before work commences and is non-refundable once work has begun.</w:t>
      </w:r>
    </w:p>
    <w:p>
      <w:pPr>
        <w:numPr>
          <w:ilvl w:val="0"/>
          <w:numId w:val="1001"/>
        </w:numPr>
        <w:pStyle w:val="Compact"/>
      </w:pPr>
      <w:r>
        <w:t xml:space="preserve">Variation. Any change to the agreed scope is documented and quoted before the corresponding work proceeds.</w:t>
      </w:r>
    </w:p>
    <w:p>
      <w:pPr>
        <w:numPr>
          <w:ilvl w:val="0"/>
          <w:numId w:val="1001"/>
        </w:numPr>
        <w:pStyle w:val="Compact"/>
      </w:pPr>
      <w:r>
        <w:t xml:space="preserve">Acceptance. Each phase is deemed accepted upon sign-off at staging, or upon the expiry of seven (7) days from delivery in the absence of written objection.</w:t>
      </w:r>
    </w:p>
    <w:p>
      <w:pPr>
        <w:numPr>
          <w:ilvl w:val="0"/>
          <w:numId w:val="1001"/>
        </w:numPr>
        <w:pStyle w:val="Compact"/>
      </w:pPr>
      <w:r>
        <w:t xml:space="preserve">Warranty. Defects measured against the agreed scope are corrected at no charge for a period of thirty (30) days following go-live, after which such work is covered by the maintenance plan.</w:t>
      </w:r>
    </w:p>
    <w:p>
      <w:pPr>
        <w:numPr>
          <w:ilvl w:val="0"/>
          <w:numId w:val="1001"/>
        </w:numPr>
        <w:pStyle w:val="Compact"/>
      </w:pPr>
      <w:r>
        <w:t xml:space="preserve">Confidentiality. Each party shall keep confidential the business information disclosed to it by the other.</w:t>
      </w:r>
    </w:p>
    <w:p>
      <w:pPr>
        <w:numPr>
          <w:ilvl w:val="0"/>
          <w:numId w:val="1001"/>
        </w:numPr>
        <w:pStyle w:val="Compact"/>
      </w:pPr>
      <w:r>
        <w:t xml:space="preserve">Governing law. This engagement is governed by the laws of Malaysia.</w:t>
      </w:r>
    </w:p>
    <w:p>
      <w:pPr>
        <w:pStyle w:val="Heading1"/>
      </w:pPr>
      <w:bookmarkStart w:id="65" w:name="acceptance"/>
      <w:r>
        <w:t xml:space="preserve">12. Acceptance</w:t>
      </w:r>
      <w:bookmarkEnd w:id="65"/>
    </w:p>
    <w:p>
      <w:pPr>
        <w:pStyle w:val="FirstParagraph"/>
      </w:pPr>
      <w:r>
        <w:t xml:space="preserve">By signing below, the Client accepts this proposal and quotation and authorises the Developer to commence the work in accordance with the terms set out herein.</w:t>
      </w:r>
    </w:p>
    <w:p>
      <w:pPr>
        <w:pStyle w:val="BodyText"/>
      </w:pPr>
      <w:r>
        <w:t xml:space="preserve">Accepted for and on behalf of the Client:</w:t>
      </w:r>
    </w:p>
    <w:p>
      <w:pPr>
        <w:pStyle w:val="BodyText"/>
      </w:pPr>
      <w:r>
        <w:t xml:space="preserve">Name: _______________________________</w:t>
      </w:r>
    </w:p>
    <w:p>
      <w:pPr>
        <w:pStyle w:val="BodyText"/>
      </w:pPr>
      <w:r>
        <w:t xml:space="preserve">Title: _______________________________</w:t>
      </w:r>
    </w:p>
    <w:p>
      <w:pPr>
        <w:pStyle w:val="BodyText"/>
      </w:pPr>
      <w:r>
        <w:t xml:space="preserve">Signature: _______________________________</w:t>
      </w:r>
    </w:p>
    <w:p>
      <w:pPr>
        <w:pStyle w:val="BodyText"/>
      </w:pPr>
      <w:r>
        <w:t xml:space="preserve">Date: _______________________________</w:t>
      </w:r>
    </w:p>
    <w:p>
      <w:pPr>
        <w:pStyle w:val="BodyText"/>
      </w:pPr>
      <w:r>
        <w:t xml:space="preserve"> </w:t>
      </w:r>
    </w:p>
    <w:p>
      <w:pPr>
        <w:pStyle w:val="BodyText"/>
      </w:pPr>
      <w:r>
        <w:t xml:space="preserve">For and on behalf of the Developer (Quandatics):</w:t>
      </w:r>
    </w:p>
    <w:p>
      <w:pPr>
        <w:pStyle w:val="BodyText"/>
      </w:pPr>
      <w:r>
        <w:t xml:space="preserve">Name: _______________________________</w:t>
      </w:r>
    </w:p>
    <w:p>
      <w:pPr>
        <w:pStyle w:val="BodyText"/>
      </w:pPr>
      <w:r>
        <w:t xml:space="preserve">Title: _______________________________</w:t>
      </w:r>
    </w:p>
    <w:p>
      <w:pPr>
        <w:pStyle w:val="BodyText"/>
      </w:pPr>
      <w:r>
        <w:t xml:space="preserve">Signature: _______________________________</w:t>
      </w:r>
    </w:p>
    <w:p>
      <w:pPr>
        <w:pStyle w:val="BodyText"/>
      </w:pPr>
      <w:r>
        <w:t xml:space="preserve">Date: _______________________________</w:t>
      </w:r>
    </w:p>
    <w:p>
      <w:pPr>
        <w:pStyle w:val="Heading1"/>
      </w:pPr>
      <w:bookmarkStart w:id="66" w:name="sources-and-references"/>
      <w:r>
        <w:t xml:space="preserve">13. Sources and references</w:t>
      </w:r>
      <w:bookmarkEnd w:id="66"/>
    </w:p>
    <w:p>
      <w:pPr>
        <w:pStyle w:val="FirstParagraph"/>
      </w:pPr>
      <w:r>
        <w:t xml:space="preserve">Bespoke software pricing, Malaysia:</w:t>
      </w:r>
    </w:p>
    <w:p>
      <w:pPr>
        <w:numPr>
          <w:ilvl w:val="0"/>
          <w:numId w:val="1002"/>
        </w:numPr>
        <w:pStyle w:val="Compact"/>
      </w:pPr>
      <w:r>
        <w:t xml:space="preserve">Zoomo Tech Malaysia,</w:t>
      </w:r>
      <w:r>
        <w:t xml:space="preserve"> </w:t>
      </w:r>
      <w:r>
        <w:t xml:space="preserve">“</w:t>
      </w:r>
      <w:r>
        <w:t xml:space="preserve">Why Custom Software Cost in Malaysia Varies from RM30k to RM300k</w:t>
      </w:r>
      <w:r>
        <w:t xml:space="preserve">”</w:t>
      </w:r>
      <w:r>
        <w:t xml:space="preserve"> </w:t>
      </w:r>
      <w:r>
        <w:t xml:space="preserve">(2026):</w:t>
      </w:r>
      <w:r>
        <w:t xml:space="preserve"> </w:t>
      </w:r>
      <w:hyperlink r:id="rId52">
        <w:r>
          <w:rPr>
            <w:rStyle w:val="Hyperlink"/>
          </w:rPr>
          <w:t xml:space="preserve">https://www.zoomotech.com.my/blog/why-custom-software-cost-in-malaysia-varies-from-rm30k-to-rm300k/</w:t>
        </w:r>
      </w:hyperlink>
    </w:p>
    <w:p>
      <w:pPr>
        <w:numPr>
          <w:ilvl w:val="0"/>
          <w:numId w:val="1002"/>
        </w:numPr>
        <w:pStyle w:val="Compact"/>
      </w:pPr>
      <w:r>
        <w:t xml:space="preserve">Gotchaa Lab,</w:t>
      </w:r>
      <w:r>
        <w:t xml:space="preserve"> </w:t>
      </w:r>
      <w:r>
        <w:t xml:space="preserve">“</w:t>
      </w:r>
      <w:r>
        <w:t xml:space="preserve">How Much Does Custom Software Cost in Malaysia? (2026 Guide)</w:t>
      </w:r>
      <w:r>
        <w:t xml:space="preserve">”</w:t>
      </w:r>
      <w:r>
        <w:t xml:space="preserve">:</w:t>
      </w:r>
      <w:r>
        <w:t xml:space="preserve"> </w:t>
      </w:r>
      <w:hyperlink r:id="rId53">
        <w:r>
          <w:rPr>
            <w:rStyle w:val="Hyperlink"/>
          </w:rPr>
          <w:t xml:space="preserve">https://gotchaa-lab.com/blog/2026-03-05-how-much-does-custom-software-cost-malaysia</w:t>
        </w:r>
      </w:hyperlink>
    </w:p>
    <w:p>
      <w:pPr>
        <w:numPr>
          <w:ilvl w:val="0"/>
          <w:numId w:val="1002"/>
        </w:numPr>
        <w:pStyle w:val="Compact"/>
      </w:pPr>
      <w:r>
        <w:t xml:space="preserve">Xantec Solutions (bespoke engineering, Malaysia):</w:t>
      </w:r>
      <w:r>
        <w:t xml:space="preserve"> </w:t>
      </w:r>
      <w:hyperlink r:id="rId54">
        <w:r>
          <w:rPr>
            <w:rStyle w:val="Hyperlink"/>
          </w:rPr>
          <w:t xml:space="preserve">https://xantec.com.my/</w:t>
        </w:r>
      </w:hyperlink>
    </w:p>
    <w:p>
      <w:pPr>
        <w:pStyle w:val="FirstParagraph"/>
      </w:pPr>
      <w:r>
        <w:t xml:space="preserve">Subscription and off-the-shelf Customer Relationship Management pricing:</w:t>
      </w:r>
    </w:p>
    <w:p>
      <w:pPr>
        <w:numPr>
          <w:ilvl w:val="0"/>
          <w:numId w:val="1003"/>
        </w:numPr>
        <w:pStyle w:val="Compact"/>
      </w:pPr>
      <w:r>
        <w:t xml:space="preserve">Zoho CRM pricing:</w:t>
      </w:r>
      <w:r>
        <w:t xml:space="preserve"> </w:t>
      </w:r>
      <w:hyperlink r:id="rId46">
        <w:r>
          <w:rPr>
            <w:rStyle w:val="Hyperlink"/>
          </w:rPr>
          <w:t xml:space="preserve">https://www.zoho.com/crm/zohocrm-pricing.html</w:t>
        </w:r>
      </w:hyperlink>
    </w:p>
    <w:p>
      <w:pPr>
        <w:numPr>
          <w:ilvl w:val="0"/>
          <w:numId w:val="1003"/>
        </w:numPr>
        <w:pStyle w:val="Compact"/>
      </w:pPr>
      <w:r>
        <w:t xml:space="preserve">HubSpot Sales Hub pricing:</w:t>
      </w:r>
      <w:r>
        <w:t xml:space="preserve"> </w:t>
      </w:r>
      <w:hyperlink r:id="rId47">
        <w:r>
          <w:rPr>
            <w:rStyle w:val="Hyperlink"/>
          </w:rPr>
          <w:t xml:space="preserve">https://blog.hubspot.com/sales/hubspot-sales-hub-pricing</w:t>
        </w:r>
      </w:hyperlink>
    </w:p>
    <w:p>
      <w:pPr>
        <w:numPr>
          <w:ilvl w:val="0"/>
          <w:numId w:val="1003"/>
        </w:numPr>
        <w:pStyle w:val="Compact"/>
      </w:pPr>
      <w:r>
        <w:t xml:space="preserve">Salesforce Sales Cloud pricing:</w:t>
      </w:r>
      <w:r>
        <w:t xml:space="preserve"> </w:t>
      </w:r>
      <w:hyperlink r:id="rId48">
        <w:r>
          <w:rPr>
            <w:rStyle w:val="Hyperlink"/>
          </w:rPr>
          <w:t xml:space="preserve">https://www.salesforce.com/sales/pricing/</w:t>
        </w:r>
      </w:hyperlink>
    </w:p>
    <w:p>
      <w:pPr>
        <w:numPr>
          <w:ilvl w:val="0"/>
          <w:numId w:val="1003"/>
        </w:numPr>
        <w:pStyle w:val="Compact"/>
      </w:pPr>
      <w:r>
        <w:t xml:space="preserve">TargetCRM (Xantec, Malaysia) pricing:</w:t>
      </w:r>
      <w:r>
        <w:t xml:space="preserve"> </w:t>
      </w:r>
      <w:hyperlink r:id="rId49">
        <w:r>
          <w:rPr>
            <w:rStyle w:val="Hyperlink"/>
          </w:rPr>
          <w:t xml:space="preserve">https://targetcrm.com.my/crm-pricing</w:t>
        </w:r>
      </w:hyperlink>
    </w:p>
    <w:p>
      <w:pPr>
        <w:numPr>
          <w:ilvl w:val="0"/>
          <w:numId w:val="1003"/>
        </w:numPr>
        <w:pStyle w:val="Compact"/>
      </w:pPr>
      <w:r>
        <w:t xml:space="preserve">MyPoint CRM (Malaysia) pricing:</w:t>
      </w:r>
      <w:r>
        <w:t xml:space="preserve"> </w:t>
      </w:r>
      <w:hyperlink r:id="rId50">
        <w:r>
          <w:rPr>
            <w:rStyle w:val="Hyperlink"/>
          </w:rPr>
          <w:t xml:space="preserve">https://crmsystem.com.my/pricing/</w:t>
        </w:r>
      </w:hyperlink>
    </w:p>
    <w:p>
      <w:pPr>
        <w:pStyle w:val="FirstParagraph"/>
      </w:pPr>
      <w:r>
        <w:t xml:space="preserve">Developer rates and exchange rate:</w:t>
      </w:r>
    </w:p>
    <w:p>
      <w:pPr>
        <w:numPr>
          <w:ilvl w:val="0"/>
          <w:numId w:val="1004"/>
        </w:numPr>
        <w:pStyle w:val="Compact"/>
      </w:pPr>
      <w:r>
        <w:t xml:space="preserve">Lemon.io, Software Developer Hourly Rate in Malaysia:</w:t>
      </w:r>
      <w:r>
        <w:t xml:space="preserve"> </w:t>
      </w:r>
      <w:hyperlink r:id="rId57">
        <w:r>
          <w:rPr>
            <w:rStyle w:val="Hyperlink"/>
          </w:rPr>
          <w:t xml:space="preserve">https://lemon.io/rate-calculator/malaysia/</w:t>
        </w:r>
      </w:hyperlink>
    </w:p>
    <w:p>
      <w:pPr>
        <w:numPr>
          <w:ilvl w:val="0"/>
          <w:numId w:val="1004"/>
        </w:numPr>
        <w:pStyle w:val="Compact"/>
      </w:pPr>
      <w:r>
        <w:t xml:space="preserve">United States Dollar to Malaysian Ringgit exchange rate (June 2026, approximately RM 4.10):</w:t>
      </w:r>
      <w:r>
        <w:t xml:space="preserve"> </w:t>
      </w:r>
      <w:hyperlink r:id="rId67">
        <w:r>
          <w:rPr>
            <w:rStyle w:val="Hyperlink"/>
          </w:rPr>
          <w:t xml:space="preserve">https://tradingeconomics.com/malaysia/currency</w:t>
        </w:r>
      </w:hyperlink>
    </w:p>
    <w:p>
      <w:pPr>
        <w:pStyle w:val="FirstParagraph"/>
      </w:pPr>
      <w:r>
        <w:t xml:space="preserve">Subscription totals are estimates based upon published list prices for a team of fifteen users over thirty-six months and are provided for comparison only; actual vendor pricing varies by region, term, additional charges, and negotiation. United States Dollar figures are converted at US$1 to RM 4.10.</w:t>
      </w:r>
    </w:p>
    <w:sectPr>
      <w:footerReference w:type="default" r:id="rId9"/>
      <w:pgSz w:w="11906" w:h="16838"/>
      <w:pgMar w:top="1418" w:right="1418" w:bottom="1418" w:left="1418"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color w:val="888888"/>
        <w:sz w:val="16"/>
      </w:rPr>
    </w:pPr>
    <w:r>
      <w:rPr>
        <w:color w:val="888888"/>
        <w:sz w:val="16"/>
      </w:rPr>
      <w:t xml:space="preserve">Quandatics CRM Proposal and Quotation  (Ref. QDT-CRM-2026-001)      Page </w:t>
    </w:r>
    <w:r>
      <w:rPr>
        <w:color w:val="888888"/>
        <w:sz w:val="16"/>
      </w:rPr>
      <w:fldChar w:fldCharType="begin"/>
    </w:r>
    <w:r>
      <w:rPr>
        <w:color w:val="888888"/>
        <w:sz w:val="16"/>
      </w:rPr>
      <w:instrText xml:space="preserve"> PAGE </w:instrText>
    </w:r>
    <w:r>
      <w:rPr>
        <w:color w:val="888888"/>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1324D"/>
      <w:sz w:val="44"/>
      <w:szCs w:val="44"/>
    </w:rPr>
  </w:style>
  <w:style w:type="paragraph" w:styleId="Subtitle">
    <w:name w:val="Subtitle"/>
    <w:basedOn w:val="Title"/>
    <w:next w:val="BodyText"/>
    <w:qFormat/>
    <w:pPr>
      <w:keepNext/>
      <w:keepLines/>
      <w:spacing w:before="240" w:after="240"/>
      <w:jc w:val="center"/>
    </w:pPr>
    <w:rPr>
      <w:color w:val="5B6B7B"/>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Bdr>
        <w:bottom w:val="single" w:sz="8" w:space="6" w:color="1F4E79"/>
      </w:pBdr>
    </w:pPr>
    <w:rPr>
      <w:rFonts w:asciiTheme="majorHAnsi" w:eastAsiaTheme="majorEastAsia" w:hAnsiTheme="majorHAnsi" w:cstheme="majorBidi"/>
      <w:b/>
      <w:bCs/>
      <w:color w:val="1F4E79"/>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2E74B5"/>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74B5"/>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74B5"/>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Borders>
        <w:top w:val="single" w:sz="4" w:color="CCCCCC"/>
        <w:left w:val="single" w:sz="4" w:color="CCCCCC"/>
        <w:bottom w:val="single" w:sz="4" w:color="CCCCCC"/>
        <w:right w:val="single" w:sz="4" w:color="CCCCCC"/>
        <w:insideH w:val="single" w:sz="4" w:color="DDDDDD"/>
        <w:insideV w:val="single" w:sz="4" w:color="DDDDDD"/>
      </w:tblBorders>
      <w:tblCellMar>
        <w:top w:w="0" w:type="dxa"/>
        <w:left w:w="108" w:type="dxa"/>
        <w:bottom w:w="0" w:type="dxa"/>
        <w:right w:w="108" w:type="dxa"/>
      </w:tblCellMar>
    </w:tblPr>
    <w:tblStylePr w:type="firstRow">
      <w:rPr>
        <w:b/>
        <w:color w:val="FFFFFF"/>
      </w:rPr>
      <w:tcPr>
        <w:shd w:val="clear" w:color="auto" w:fill="1F4E7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footer" Id="rId9" Target="footer1.xml" /><Relationship Type="http://schemas.openxmlformats.org/officeDocument/2006/relationships/hyperlink" Id="rId47" Target="https://blog.hubspot.com/sales/hubspot-sales-hub-pricing" TargetMode="External" /><Relationship Type="http://schemas.openxmlformats.org/officeDocument/2006/relationships/hyperlink" Id="rId50" Target="https://crmsystem.com.my/pricing/" TargetMode="External" /><Relationship Type="http://schemas.openxmlformats.org/officeDocument/2006/relationships/hyperlink" Id="rId53" Target="https://gotchaa-lab.com/blog/2026-03-05-how-much-does-custom-software-cost-malaysia" TargetMode="External" /><Relationship Type="http://schemas.openxmlformats.org/officeDocument/2006/relationships/hyperlink" Id="rId57" Target="https://lemon.io/rate-calculator/malaysia/" TargetMode="External" /><Relationship Type="http://schemas.openxmlformats.org/officeDocument/2006/relationships/hyperlink" Id="rId49" Target="https://targetcrm.com.my/crm-pricing" TargetMode="External" /><Relationship Type="http://schemas.openxmlformats.org/officeDocument/2006/relationships/hyperlink" Id="rId67" Target="https://tradingeconomics.com/malaysia/currency" TargetMode="External" /><Relationship Type="http://schemas.openxmlformats.org/officeDocument/2006/relationships/hyperlink" Id="rId48" Target="https://www.salesforce.com/sales/pricing/" TargetMode="External" /><Relationship Type="http://schemas.openxmlformats.org/officeDocument/2006/relationships/hyperlink" Id="rId46" Target="https://www.zoho.com/crm/zohocrm-pricing.html" TargetMode="External" /><Relationship Type="http://schemas.openxmlformats.org/officeDocument/2006/relationships/hyperlink" Id="rId52" Target="https://www.zoomotech.com.my/blog/why-custom-software-cost-in-malaysia-varies-from-rm30k-to-rm300k/" TargetMode="External" /><Relationship Type="http://schemas.openxmlformats.org/officeDocument/2006/relationships/hyperlink" Id="rId54" Target="https://xantec.com.my/" TargetMode="External" /></Relationships>
</file>

<file path=word/_rels/footnotes.xml.rels><?xml version="1.0" encoding="UTF-8"?>
<Relationships xmlns="http://schemas.openxmlformats.org/package/2006/relationships"><Relationship Type="http://schemas.openxmlformats.org/officeDocument/2006/relationships/hyperlink" Id="rId47" Target="https://blog.hubspot.com/sales/hubspot-sales-hub-pricing" TargetMode="External" /><Relationship Type="http://schemas.openxmlformats.org/officeDocument/2006/relationships/hyperlink" Id="rId50" Target="https://crmsystem.com.my/pricing/" TargetMode="External" /><Relationship Type="http://schemas.openxmlformats.org/officeDocument/2006/relationships/hyperlink" Id="rId53" Target="https://gotchaa-lab.com/blog/2026-03-05-how-much-does-custom-software-cost-malaysia" TargetMode="External" /><Relationship Type="http://schemas.openxmlformats.org/officeDocument/2006/relationships/hyperlink" Id="rId57" Target="https://lemon.io/rate-calculator/malaysia/" TargetMode="External" /><Relationship Type="http://schemas.openxmlformats.org/officeDocument/2006/relationships/hyperlink" Id="rId49" Target="https://targetcrm.com.my/crm-pricing" TargetMode="External" /><Relationship Type="http://schemas.openxmlformats.org/officeDocument/2006/relationships/hyperlink" Id="rId67" Target="https://tradingeconomics.com/malaysia/currency" TargetMode="External" /><Relationship Type="http://schemas.openxmlformats.org/officeDocument/2006/relationships/hyperlink" Id="rId48" Target="https://www.salesforce.com/sales/pricing/" TargetMode="External" /><Relationship Type="http://schemas.openxmlformats.org/officeDocument/2006/relationships/hyperlink" Id="rId46" Target="https://www.zoho.com/crm/zohocrm-pricing.html" TargetMode="External" /><Relationship Type="http://schemas.openxmlformats.org/officeDocument/2006/relationships/hyperlink" Id="rId52" Target="https://www.zoomotech.com.my/blog/why-custom-software-cost-in-malaysia-varies-from-rm30k-to-rm300k/" TargetMode="External" /><Relationship Type="http://schemas.openxmlformats.org/officeDocument/2006/relationships/hyperlink" Id="rId54" Target="https://xantec.com.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Quandatics CRM</dc:title>
  <dc:creator>Prepared by Quandatics</dc:creator>
  <cp:keywords/>
  <dcterms:created xsi:type="dcterms:W3CDTF">2026-06-28T09:46:54Z</dcterms:created>
  <dcterms:modified xsi:type="dcterms:W3CDTF">2026-06-28T09:46:54Z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June 2026</vt:lpwstr>
  </property>
  <property fmtid="{D5CDD505-2E9C-101B-9397-08002B2CF9AE}" pid="3" name="subtitle">
    <vt:lpwstr>Proposal and Quotation for the Design, Development and Deployment of a Custom Customer Relationship Management Platform</vt:lpwstr>
  </property>
</Properties>
</file>