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39afee8398444f57"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23F5" w:rsidRDefault="00000000" w14:paraId="2EE29435" w14:textId="77777777">
      <w:pPr>
        <w:spacing w:after="372" w:line="234" w:lineRule="auto"/>
        <w:ind w:left="0" w:right="0" w:firstLine="0"/>
        <w:jc w:val="left"/>
      </w:pPr>
      <w:r>
        <w:rPr>
          <w:b/>
          <w:sz w:val="32"/>
        </w:rPr>
        <w:t xml:space="preserve">Instructions for Using the Springer Nature Word Template </w:t>
      </w:r>
    </w:p>
    <w:p w:rsidR="003123F5" w:rsidRDefault="00000000" w14:paraId="455C70D2" w14:textId="77777777">
      <w:pPr>
        <w:spacing w:after="228" w:line="259" w:lineRule="auto"/>
        <w:ind w:left="-5" w:right="0"/>
        <w:jc w:val="left"/>
      </w:pPr>
      <w:r>
        <w:rPr>
          <w:b/>
        </w:rPr>
        <w:t>Author Name</w:t>
      </w:r>
      <w:r>
        <w:rPr>
          <w:b/>
          <w:vertAlign w:val="superscript"/>
        </w:rPr>
        <w:t>1</w:t>
      </w:r>
      <w:r>
        <w:rPr>
          <w:b/>
        </w:rPr>
        <w:t>, Author Name</w:t>
      </w:r>
      <w:r>
        <w:rPr>
          <w:b/>
          <w:vertAlign w:val="superscript"/>
        </w:rPr>
        <w:t>2</w:t>
      </w:r>
      <w:r>
        <w:rPr>
          <w:b/>
        </w:rPr>
        <w:t>,</w:t>
      </w:r>
      <w:r>
        <w:rPr>
          <w:b/>
          <w:vertAlign w:val="superscript"/>
        </w:rPr>
        <w:t xml:space="preserve"> </w:t>
      </w:r>
      <w:r>
        <w:rPr>
          <w:b/>
        </w:rPr>
        <w:t>Author Name</w:t>
      </w:r>
      <w:r>
        <w:rPr>
          <w:b/>
          <w:vertAlign w:val="superscript"/>
        </w:rPr>
        <w:t>3</w:t>
      </w:r>
      <w:r>
        <w:rPr>
          <w:b/>
        </w:rPr>
        <w:t>, Author Name</w:t>
      </w:r>
      <w:r>
        <w:rPr>
          <w:b/>
          <w:vertAlign w:val="superscript"/>
        </w:rPr>
        <w:t xml:space="preserve">4 </w:t>
      </w:r>
    </w:p>
    <w:p w:rsidR="003123F5" w:rsidRDefault="00000000" w14:paraId="066111A4" w14:textId="77777777">
      <w:pPr>
        <w:spacing w:after="3" w:line="251" w:lineRule="auto"/>
        <w:ind w:left="248" w:right="33"/>
      </w:pPr>
      <w:r>
        <w:rPr>
          <w:sz w:val="17"/>
          <w:vertAlign w:val="superscript"/>
        </w:rPr>
        <w:t>1</w:t>
      </w:r>
      <w:r>
        <w:rPr>
          <w:sz w:val="17"/>
        </w:rPr>
        <w:t xml:space="preserve">Department, Institution, City, Country </w:t>
      </w:r>
    </w:p>
    <w:p w:rsidR="003123F5" w:rsidRDefault="00000000" w14:paraId="54EE82E4" w14:textId="77777777">
      <w:pPr>
        <w:spacing w:after="3" w:line="251" w:lineRule="auto"/>
        <w:ind w:left="248" w:right="33"/>
      </w:pPr>
      <w:r>
        <w:rPr>
          <w:sz w:val="17"/>
          <w:vertAlign w:val="superscript"/>
        </w:rPr>
        <w:t>2</w:t>
      </w:r>
      <w:r>
        <w:rPr>
          <w:sz w:val="17"/>
        </w:rPr>
        <w:t xml:space="preserve">Department, Institution, City, Country </w:t>
      </w:r>
    </w:p>
    <w:p w:rsidR="003123F5" w:rsidRDefault="00000000" w14:paraId="5D203526" w14:textId="77777777">
      <w:pPr>
        <w:spacing w:after="3" w:line="251" w:lineRule="auto"/>
        <w:ind w:left="248" w:right="33"/>
      </w:pPr>
      <w:r>
        <w:rPr>
          <w:sz w:val="17"/>
          <w:vertAlign w:val="superscript"/>
        </w:rPr>
        <w:t>3</w:t>
      </w:r>
      <w:r>
        <w:rPr>
          <w:sz w:val="17"/>
        </w:rPr>
        <w:t xml:space="preserve">Department, Institution, City, Country </w:t>
      </w:r>
    </w:p>
    <w:p w:rsidR="003123F5" w:rsidRDefault="00000000" w14:paraId="37A3E838" w14:textId="77777777">
      <w:pPr>
        <w:spacing w:after="266" w:line="251" w:lineRule="auto"/>
        <w:ind w:left="248" w:right="33"/>
      </w:pPr>
      <w:r>
        <w:rPr>
          <w:sz w:val="17"/>
          <w:vertAlign w:val="superscript"/>
        </w:rPr>
        <w:t>4</w:t>
      </w:r>
      <w:r>
        <w:rPr>
          <w:sz w:val="17"/>
        </w:rPr>
        <w:t xml:space="preserve">Department, Institution, City, Country </w:t>
      </w:r>
    </w:p>
    <w:p w:rsidR="003123F5" w:rsidRDefault="00000000" w14:paraId="26107806" w14:textId="77777777">
      <w:pPr>
        <w:spacing w:after="234" w:line="251" w:lineRule="auto"/>
        <w:ind w:left="-4" w:right="33"/>
      </w:pPr>
      <w:r>
        <w:rPr>
          <w:sz w:val="17"/>
        </w:rPr>
        <w:t xml:space="preserve">This is a sample chapter note. This is an optional feature which you may for instance use to dedicate the chapter to someone or to acknowledge equal authorship. </w:t>
      </w:r>
    </w:p>
    <w:p w:rsidR="003123F5" w:rsidRDefault="00000000" w14:paraId="60D94330" w14:textId="77777777">
      <w:pPr>
        <w:spacing w:after="512" w:line="245" w:lineRule="auto"/>
        <w:ind w:left="268" w:right="48" w:firstLine="0"/>
        <w:jc w:val="right"/>
      </w:pPr>
      <w:r>
        <w:rPr>
          <w:sz w:val="17"/>
        </w:rPr>
        <w:t xml:space="preserve">A motto is a brief statement or phrase that captures the essence or main idea of a chapter. This is an optional feature. </w:t>
      </w:r>
    </w:p>
    <w:p w:rsidR="003123F5" w:rsidRDefault="00000000" w14:paraId="09F36D72" w14:textId="77777777">
      <w:pPr>
        <w:spacing w:after="482"/>
        <w:ind w:left="-4" w:right="42"/>
      </w:pPr>
      <w:r>
        <w:rPr>
          <w:b/>
        </w:rPr>
        <w:t>Abstract</w:t>
      </w:r>
      <w:r>
        <w:t xml:space="preserve"> This user manual provides instructions on how to use the Springer Nature Word template effectively. It is intended as a guide for Springer Nature book and chapter authors in understanding how the template functions. This user guide has been prepared in the form of a sample chapter which at the same time explains the different features offered by this tool. </w:t>
      </w:r>
    </w:p>
    <w:p w:rsidR="003123F5" w:rsidRDefault="00000000" w14:paraId="5ABA5C32" w14:textId="77777777">
      <w:pPr>
        <w:spacing w:after="403"/>
        <w:ind w:left="-4" w:right="42"/>
      </w:pPr>
      <w:r>
        <w:rPr>
          <w:b/>
        </w:rPr>
        <w:t>Keywords</w:t>
      </w:r>
      <w:r>
        <w:t xml:space="preserve"> Manual, Instructions, User Guide, Word Template, Springer Nature </w:t>
      </w:r>
    </w:p>
    <w:tbl>
      <w:tblPr>
        <w:tblStyle w:val="TableGrid"/>
        <w:tblW w:w="5402" w:type="dxa"/>
        <w:tblInd w:w="-14" w:type="dxa"/>
        <w:tblCellMar>
          <w:top w:w="21" w:type="dxa"/>
          <w:left w:w="0" w:type="dxa"/>
          <w:bottom w:w="0" w:type="dxa"/>
          <w:right w:w="115" w:type="dxa"/>
        </w:tblCellMar>
        <w:tblLook w:val="04A0" w:firstRow="1" w:lastRow="0" w:firstColumn="1" w:lastColumn="0" w:noHBand="0" w:noVBand="1"/>
      </w:tblPr>
      <w:tblGrid>
        <w:gridCol w:w="2346"/>
        <w:gridCol w:w="1414"/>
        <w:gridCol w:w="1642"/>
      </w:tblGrid>
      <w:tr w:rsidR="003123F5" w14:paraId="264F94C4" w14:textId="77777777">
        <w:trPr>
          <w:trHeight w:val="204"/>
        </w:trPr>
        <w:tc>
          <w:tcPr>
            <w:tcW w:w="2347" w:type="dxa"/>
            <w:tcBorders>
              <w:top w:val="single" w:color="000000" w:sz="4" w:space="0"/>
              <w:left w:val="nil"/>
              <w:bottom w:val="single" w:color="000000" w:sz="4" w:space="0"/>
              <w:right w:val="nil"/>
            </w:tcBorders>
          </w:tcPr>
        </w:tc>
        <w:tc>
          <w:tcPr>
            <w:tcW w:w="1414" w:type="dxa"/>
            <w:tcBorders>
              <w:top w:val="single" w:color="000000" w:sz="4" w:space="0"/>
              <w:left w:val="nil"/>
              <w:bottom w:val="single" w:color="000000" w:sz="4" w:space="0"/>
              <w:right w:val="nil"/>
            </w:tcBorders>
          </w:tcPr>
        </w:tc>
        <w:tc>
          <w:tcPr>
            <w:tcW w:w="1642" w:type="dxa"/>
            <w:tcBorders>
              <w:top w:val="single" w:color="000000" w:sz="4" w:space="0"/>
              <w:left w:val="nil"/>
              <w:bottom w:val="single" w:color="000000" w:sz="4" w:space="0"/>
              <w:right w:val="nil"/>
            </w:tcBorders>
          </w:tcPr>
        </w:tc>
      </w:tr>
      <w:tr w:rsidR="003123F5" w14:paraId="102D2C7D" w14:textId="77777777">
        <w:trPr>
          <w:trHeight w:val="221"/>
        </w:trPr>
        <w:tc>
          <w:tcPr>
            <w:tcW w:w="2347" w:type="dxa"/>
            <w:tcBorders>
              <w:top w:val="single" w:color="000000" w:sz="4" w:space="0"/>
              <w:left w:val="nil"/>
              <w:bottom w:val="nil"/>
              <w:right w:val="nil"/>
            </w:tcBorders>
          </w:tcPr>
        </w:tc>
        <w:tc>
          <w:tcPr>
            <w:tcW w:w="1414" w:type="dxa"/>
            <w:tcBorders>
              <w:top w:val="single" w:color="000000" w:sz="4" w:space="0"/>
              <w:left w:val="nil"/>
              <w:bottom w:val="nil"/>
              <w:right w:val="nil"/>
            </w:tcBorders>
          </w:tcPr>
        </w:tc>
        <w:tc>
          <w:tcPr>
            <w:tcW w:w="1642" w:type="dxa"/>
            <w:tcBorders>
              <w:top w:val="single" w:color="000000" w:sz="4" w:space="0"/>
              <w:left w:val="nil"/>
              <w:bottom w:val="nil"/>
              <w:right w:val="nil"/>
            </w:tcBorders>
          </w:tcPr>
        </w:tc>
      </w:tr>
      <w:tr w:rsidR="003123F5" w14:paraId="455BA95B" w14:textId="77777777">
        <w:trPr>
          <w:trHeight w:val="186"/>
        </w:trPr>
        <w:tc>
          <w:tcPr>
            <w:tcW w:w="2347" w:type="dxa"/>
            <w:tcBorders>
              <w:top w:val="nil"/>
              <w:left w:val="nil"/>
              <w:bottom w:val="nil"/>
              <w:right w:val="nil"/>
            </w:tcBorders>
          </w:tcPr>
        </w:tc>
        <w:tc>
          <w:tcPr>
            <w:tcW w:w="1414" w:type="dxa"/>
            <w:tcBorders>
              <w:top w:val="nil"/>
              <w:left w:val="nil"/>
              <w:bottom w:val="nil"/>
              <w:right w:val="nil"/>
            </w:tcBorders>
          </w:tcPr>
        </w:tc>
        <w:tc>
          <w:tcPr>
            <w:tcW w:w="1642" w:type="dxa"/>
            <w:tcBorders>
              <w:top w:val="nil"/>
              <w:left w:val="nil"/>
              <w:bottom w:val="nil"/>
              <w:right w:val="nil"/>
            </w:tcBorders>
          </w:tcPr>
        </w:tc>
      </w:tr>
      <w:tr w:rsidR="003123F5" w14:paraId="5FF19D25" w14:textId="77777777">
        <w:trPr>
          <w:trHeight w:val="190"/>
        </w:trPr>
        <w:tc>
          <w:tcPr>
            <w:tcW w:w="2347" w:type="dxa"/>
            <w:tcBorders>
              <w:top w:val="nil"/>
              <w:left w:val="nil"/>
              <w:bottom w:val="single" w:color="000000" w:sz="4" w:space="0"/>
              <w:right w:val="nil"/>
            </w:tcBorders>
          </w:tcPr>
        </w:tc>
        <w:tc>
          <w:tcPr>
            <w:tcW w:w="1414" w:type="dxa"/>
            <w:tcBorders>
              <w:top w:val="nil"/>
              <w:left w:val="nil"/>
              <w:bottom w:val="single" w:color="000000" w:sz="4" w:space="0"/>
              <w:right w:val="nil"/>
            </w:tcBorders>
          </w:tcPr>
        </w:tc>
        <w:tc>
          <w:tcPr>
            <w:tcW w:w="1642" w:type="dxa"/>
            <w:tcBorders>
              <w:top w:val="nil"/>
              <w:left w:val="nil"/>
              <w:bottom w:val="single" w:color="000000" w:sz="4" w:space="0"/>
              <w:right w:val="nil"/>
            </w:tcBorders>
          </w:tcPr>
        </w:tc>
      </w:tr>
    </w:tbl>
    <w:p w14:paraId="77777778" w14:textId="7777777A">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Deep Learning Approaches for Biomedical Image Segmentation</w:t>
      </w:r>
    </w:p>
    <w:p w14:paraId="7777777B" w14:textId="77777787">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Nguyen Thi Lan</w:t>
      </w:r>
      <w:r>
        <w:rPr>
          <w:rFonts xmlns:w="http://schemas.openxmlformats.org/wordprocessingml/2006/main" w:ascii="Times New Roman" w:hAnsi="Times New Roman"/>
          <w:sz w:val="17"/>
          <w:vertAlign w:val="superscript"/>
        </w:rPr>
        <w:t xml:space="preserve">1</w:t>
      </w:r>
      <w:r>
        <w:rPr>
          <w:rFonts xmlns:w="http://schemas.openxmlformats.org/wordprocessingml/2006/main" w:ascii="Times New Roman" w:hAnsi="Times New Roman"/>
          <w:sz w:val="17"/>
        </w:rPr>
        <w:t xml:space="preserve">, </w:t>
      </w:r>
      <w:r>
        <w:rPr>
          <w:rFonts xmlns:w="http://schemas.openxmlformats.org/wordprocessingml/2006/main" w:ascii="Times New Roman" w:hAnsi="Times New Roman"/>
          <w:b/>
          <w:sz w:val="17"/>
        </w:rPr>
        <w:t xml:space="preserve">Tran Minh Duc</w:t>
      </w:r>
      <w:r>
        <w:rPr>
          <w:rFonts xmlns:w="http://schemas.openxmlformats.org/wordprocessingml/2006/main" w:ascii="Times New Roman" w:hAnsi="Times New Roman"/>
          <w:sz w:val="17"/>
          <w:vertAlign w:val="superscript"/>
        </w:rPr>
        <w:t xml:space="preserve">2</w:t>
      </w:r>
      <w:r>
        <w:rPr>
          <w:rFonts xmlns:w="http://schemas.openxmlformats.org/wordprocessingml/2006/main" w:ascii="Times New Roman" w:hAnsi="Times New Roman"/>
          <w:sz w:val="17"/>
        </w:rPr>
        <w:t xml:space="preserve">, </w:t>
      </w:r>
      <w:r>
        <w:rPr>
          <w:rFonts xmlns:w="http://schemas.openxmlformats.org/wordprocessingml/2006/main" w:ascii="Times New Roman" w:hAnsi="Times New Roman"/>
          <w:b/>
          <w:sz w:val="17"/>
        </w:rPr>
        <w:t xml:space="preserve">Le Hoang Anh</w:t>
      </w:r>
      <w:r>
        <w:rPr>
          <w:rFonts xmlns:w="http://schemas.openxmlformats.org/wordprocessingml/2006/main" w:ascii="Times New Roman" w:hAnsi="Times New Roman"/>
          <w:sz w:val="17"/>
          <w:vertAlign w:val="superscript"/>
        </w:rPr>
        <w:t xml:space="preserve">3</w:t>
      </w:r>
      <w:r>
        <w:rPr>
          <w:rFonts xmlns:w="http://schemas.openxmlformats.org/wordprocessingml/2006/main" w:ascii="Times New Roman" w:hAnsi="Times New Roman"/>
          <w:sz w:val="17"/>
        </w:rPr>
        <w:t xml:space="preserve">, </w:t>
      </w:r>
      <w:r>
        <w:rPr>
          <w:rFonts xmlns:w="http://schemas.openxmlformats.org/wordprocessingml/2006/main" w:ascii="Times New Roman" w:hAnsi="Times New Roman"/>
          <w:b/>
          <w:sz w:val="17"/>
        </w:rPr>
        <w:t xml:space="preserve">Pham Quoc Bao</w:t>
      </w:r>
      <w:r>
        <w:rPr>
          <w:rFonts xmlns:w="http://schemas.openxmlformats.org/wordprocessingml/2006/main" w:ascii="Times New Roman" w:hAnsi="Times New Roman"/>
          <w:sz w:val="17"/>
          <w:vertAlign w:val="superscript"/>
        </w:rPr>
        <w:t xml:space="preserve">4</w:t>
      </w:r>
    </w:p>
    <w:p w14:paraId="77777788" w14:textId="7777778B">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vertAlign w:val="superscript"/>
        </w:rPr>
        <w:t xml:space="preserve">1</w:t>
      </w:r>
      <w:r>
        <w:rPr>
          <w:rFonts xmlns:w="http://schemas.openxmlformats.org/wordprocessingml/2006/main" w:ascii="Times New Roman" w:hAnsi="Times New Roman"/>
          <w:sz w:val="17"/>
        </w:rPr>
        <w:t xml:space="preserve">Department of Computer Science, Hanoi University of Science and Technology, Hanoi, Vietnam</w:t>
      </w:r>
    </w:p>
    <w:p w14:paraId="7777778C" w14:textId="7777778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vertAlign w:val="superscript"/>
        </w:rPr>
        <w:t xml:space="preserve">2</w:t>
      </w:r>
      <w:r>
        <w:rPr>
          <w:rFonts xmlns:w="http://schemas.openxmlformats.org/wordprocessingml/2006/main" w:ascii="Times New Roman" w:hAnsi="Times New Roman"/>
          <w:sz w:val="17"/>
        </w:rPr>
        <w:t xml:space="preserve">Faculty of Biomedical Engineering, Vietnam National University, Ho Chi Minh City, Vietnam</w:t>
      </w:r>
    </w:p>
    <w:p w14:paraId="77777790" w14:textId="77777793">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vertAlign w:val="superscript"/>
        </w:rPr>
        <w:t xml:space="preserve">3</w:t>
      </w:r>
      <w:r>
        <w:rPr>
          <w:rFonts xmlns:w="http://schemas.openxmlformats.org/wordprocessingml/2006/main" w:ascii="Times New Roman" w:hAnsi="Times New Roman"/>
          <w:sz w:val="17"/>
        </w:rPr>
        <w:t xml:space="preserve">Institute of Artificial Intelligence, Vingroup Big Data Institute, Hanoi, Vietnam</w:t>
      </w:r>
    </w:p>
    <w:p w14:paraId="77777794" w14:textId="77777797">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vertAlign w:val="superscript"/>
        </w:rPr>
        <w:t xml:space="preserve">4</w:t>
      </w:r>
      <w:r>
        <w:rPr>
          <w:rFonts xmlns:w="http://schemas.openxmlformats.org/wordprocessingml/2006/main" w:ascii="Times New Roman" w:hAnsi="Times New Roman"/>
          <w:sz w:val="17"/>
        </w:rPr>
        <w:t xml:space="preserve">Department of Radiology, Bach Mai Hospital, Hanoi, Vietnam</w:t>
      </w:r>
    </w:p>
    <w:p w14:paraId="77777798" w14:textId="7777779A">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i/>
          <w:sz w:val="17"/>
        </w:rPr>
        <w:t xml:space="preserve">This chapter is dedicated to all healthcare workers who tirelessly serve patients and inspire the development of life-saving technologies.</w:t>
      </w:r>
    </w:p>
    <w:p w14:paraId="7777779B" w14:textId="7777779D">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i/>
          <w:sz w:val="17"/>
        </w:rPr>
        <w:t xml:space="preserve">"The goal of computer vision in medicine is not to replace the physician, but to give them a superpower." — Anonymous</w:t>
      </w:r>
    </w:p>
    <w:p w14:paraId="7777779E" w14:textId="777777A1">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Abstract</w:t>
      </w:r>
      <w:r>
        <w:rPr>
          <w:rFonts xmlns:w="http://schemas.openxmlformats.org/wordprocessingml/2006/main" w:ascii="Times New Roman" w:hAnsi="Times New Roman"/>
          <w:sz w:val="17"/>
        </w:rPr>
        <w:t xml:space="preserve"> Accurate segmentation of anatomical structures in medical images is a fundamental step in clinical diagnosis, treatment planning, and disease monitoring. Traditional segmentation methods often fall short when confronted with the high variability of biological tissue and imaging noise. This chapter presents a comprehensive review of deep learning architectures applied to biomedical image segmentation, with a particular focus on convolutional neural networks (CNNs) and transformer-based models. We survey benchmark datasets, evaluation metrics, and training strategies, and discuss both the opportunities and limitations of current approaches. Experimental results on three public datasets demonstrate that hybrid architectures combining local feature extraction with global context modelling consistently outperform single-paradigm methods.</w:t>
      </w:r>
    </w:p>
    <w:p w14:paraId="777777A2" w14:textId="777777A5">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Keywords</w:t>
      </w:r>
      <w:r>
        <w:rPr>
          <w:rFonts xmlns:w="http://schemas.openxmlformats.org/wordprocessingml/2006/main" w:ascii="Times New Roman" w:hAnsi="Times New Roman"/>
          <w:sz w:val="17"/>
        </w:rPr>
        <w:t xml:space="preserve"> Deep Learning, Image Segmentation, Convolutional Neural Networks, Vision Transformers, Medical Imaging, U-Net</w:t>
      </w:r>
    </w:p>
    <w:p w14:paraId="777777A6" w14:textId="777777A8">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Introduction</w:t>
      </w:r>
    </w:p>
    <w:p w14:paraId="777777A9" w14:textId="777777AB">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automated analysis of biomedical images has become an indispensable component of modern healthcare. With the growing volume of radiology scans, histopathology slides, and endoscopic images generated each year, manual annotation by clinicians is no longer scalable. Deep learning has emerged as the dominant paradigm for tackling this challenge, offering end-to-end solutions that can learn rich hierarchical representations directly from raw pixel data.</w:t>
      </w:r>
    </w:p>
    <w:p w14:paraId="777777AC" w14:textId="777777AE">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Image segmentation — the task of assigning a semantic label to every pixel in an image — is arguably the most information-dense form of visual understanding. In the biomedical domain this translates to delineating tumours, organs, lesions, and cellular structures with sub-millimetre precision. Errors in segmentation can propagate to downstream tasks such as volumetric measurement, radiotherapy planning, and computer-aided diagnosis, making accuracy paramount.</w:t>
      </w:r>
    </w:p>
    <w:p w14:paraId="777777AF" w14:textId="777777B1">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This chapter is organised as follows. → Section 2 introduces the foundational concepts of encoder–decoder networks. → Section 3 discusses attention mechanisms and transformer adaptations. → Section 4 covers training strategies and data augmentation. → Section 5 presents experimental comparisons, and → Section 6 concludes with open research directions.</w:t>
      </w:r>
    </w:p>
    <w:p w14:paraId="777777B2" w14:textId="777777B4">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Encoder–Decoder Architectures</w:t>
      </w:r>
    </w:p>
    <w:p w14:paraId="777777B5" w14:textId="777777B7">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The U-Net Family</w:t>
      </w:r>
    </w:p>
    <w:p w14:paraId="777777B8" w14:textId="777777BA">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U-Net architecture (Ronneberger et al. 2015) revolutionised biomedical segmentation by introducing symmetric skip connections between the contracting and expansive paths of a fully convolutional network. These skip connections preserve fine-grained spatial information that is otherwise lost during repeated pooling operations, enabling precise localisation even when the model is trained on a limited number of annotated images.</w:t>
      </w:r>
    </w:p>
    <w:p w14:paraId="777777BB" w14:textId="777777BD">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Several extensions of U-Net have been proposed to address its shortcomings:</w:t>
      </w:r>
    </w:p>
    <w:p w14:paraId="777777BE" w14:textId="777777C1">
      <w:pPr>
        <w:pStyle w:val="Normal"/>
        <w:numPr>
          <w:ilvl w:val="0"/>
          <w:numId w:val="8"/>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U-Net++</w:t>
      </w:r>
      <w:r>
        <w:rPr>
          <w:rFonts xmlns:w="http://schemas.openxmlformats.org/wordprocessingml/2006/main" w:ascii="Times New Roman" w:hAnsi="Times New Roman"/>
          <w:sz w:val="17"/>
        </w:rPr>
        <w:t xml:space="preserve">: Introduces nested, dense skip pathways that re-design skip connections as a series of nested dense blocks, reducing the semantic gap between encoder and decoder feature maps.</w:t>
      </w:r>
    </w:p>
    <w:p w14:paraId="777777C2" w14:textId="777777C5">
      <w:pPr>
        <w:pStyle w:val="Normal"/>
        <w:numPr>
          <w:ilvl w:val="0"/>
          <w:numId w:val="8"/>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Attention U-Net</w:t>
      </w:r>
      <w:r>
        <w:rPr>
          <w:rFonts xmlns:w="http://schemas.openxmlformats.org/wordprocessingml/2006/main" w:ascii="Times New Roman" w:hAnsi="Times New Roman"/>
          <w:sz w:val="17"/>
        </w:rPr>
        <w:t xml:space="preserve">: Adds attention gates at skip connections to suppress irrelevant activations and focus on salient regions, particularly beneficial for multi-class segmentation.</w:t>
      </w:r>
    </w:p>
    <w:p w14:paraId="777777C6" w14:textId="777777C9">
      <w:pPr>
        <w:pStyle w:val="Normal"/>
        <w:numPr>
          <w:ilvl w:val="0"/>
          <w:numId w:val="8"/>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3D U-Net</w:t>
      </w:r>
      <w:r>
        <w:rPr>
          <w:rFonts xmlns:w="http://schemas.openxmlformats.org/wordprocessingml/2006/main" w:ascii="Times New Roman" w:hAnsi="Times New Roman"/>
          <w:sz w:val="17"/>
        </w:rPr>
        <w:t xml:space="preserve">: Extends the architecture to volumetric data by replacing 2D convolutions with 3D convolutions, enabling direct processing of CT and MRI volumes.</w:t>
      </w:r>
    </w:p>
    <w:p w14:paraId="777777CA" w14:textId="777777CD">
      <w:pPr>
        <w:pStyle w:val="Normal"/>
        <w:numPr>
          <w:ilvl w:val="0"/>
          <w:numId w:val="8"/>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Residual U-Net</w:t>
      </w:r>
      <w:r>
        <w:rPr>
          <w:rFonts xmlns:w="http://schemas.openxmlformats.org/wordprocessingml/2006/main" w:ascii="Times New Roman" w:hAnsi="Times New Roman"/>
          <w:sz w:val="17"/>
        </w:rPr>
        <w:t xml:space="preserve">: Replaces standard convolutional blocks with residual units to facilitate gradient flow during training of deeper networks.</w:t>
      </w:r>
    </w:p>
    <w:p w14:paraId="777777CE" w14:textId="777777D0">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Fully Convolutional Networks</w:t>
      </w:r>
    </w:p>
    <w:p w14:paraId="777777D1" w14:textId="777777D3">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Prior to U-Net, fully convolutional networks (FCNs) established the groundwork for dense prediction by discarding fully connected layers and replacing them with convolutional layers, thereby allowing the network to accept inputs of arbitrary spatial resolution. FCN-based models remain competitive on natural image benchmarks, though they are generally outperformed by encoder–decoder designs on medical data where precise boundary delineation is critical.</w:t>
      </w:r>
    </w:p>
    <w:p w14:paraId="777777D4" w14:textId="777777D7">
      <w:pPr>
        <w:pStyle w:val="Normal"/>
        <w:spacing w:line="251" w:lineRule="auto"/>
        <w:ind w:left="360"/>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Important</w:t>
      </w:r>
      <w:r>
        <w:rPr>
          <w:rFonts xmlns:w="http://schemas.openxmlformats.org/wordprocessingml/2006/main" w:ascii="Times New Roman" w:hAnsi="Times New Roman"/>
          <w:sz w:val="17"/>
        </w:rPr>
        <w:t xml:space="preserve"> Skip connections are essential in biomedical segmentation. Without them, upsampling paths recover only coarse spatial structure. Always verify that skip connections are correctly wired when implementing custom architectures.</w:t>
      </w:r>
    </w:p>
    <w:p w14:paraId="777777D8" w14:textId="777777DA">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Loss Functions</w:t>
      </w:r>
    </w:p>
    <w:p w14:paraId="777777DB" w14:textId="777777DD">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choice of loss function has a substantial impact on segmentation quality, especially in the presence of class imbalance — a common scenario in medical imaging where foreground regions (e.g. small lesions) occupy only a fraction of the image area. Commonly used loss functions include:</w:t>
      </w:r>
    </w:p>
    <w:p w14:paraId="777777DE" w14:textId="777777E1">
      <w:pPr>
        <w:pStyle w:val="Normal"/>
        <w:numPr>
          <w:ilvl w:val="0"/>
          <w:numId w:val="9"/>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Cross-Entropy Loss</w:t>
      </w:r>
      <w:r>
        <w:rPr>
          <w:rFonts xmlns:w="http://schemas.openxmlformats.org/wordprocessingml/2006/main" w:ascii="Times New Roman" w:hAnsi="Times New Roman"/>
          <w:sz w:val="17"/>
        </w:rPr>
        <w:t xml:space="preserve">: The standard pixel-wise classification loss, sensitive to class imbalance.</w:t>
      </w:r>
    </w:p>
    <w:p w14:paraId="777777E2" w14:textId="777777E5">
      <w:pPr>
        <w:pStyle w:val="Normal"/>
        <w:numPr>
          <w:ilvl w:val="0"/>
          <w:numId w:val="9"/>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Dice Loss</w:t>
      </w:r>
      <w:r>
        <w:rPr>
          <w:rFonts xmlns:w="http://schemas.openxmlformats.org/wordprocessingml/2006/main" w:ascii="Times New Roman" w:hAnsi="Times New Roman"/>
          <w:sz w:val="17"/>
        </w:rPr>
        <w:t xml:space="preserve">: Directly optimises the Dice Similarity Coefficient (DSC), robust to imbalance but prone to instability at the start of training.</w:t>
      </w:r>
    </w:p>
    <w:p w14:paraId="777777E6" w14:textId="777777E9">
      <w:pPr>
        <w:pStyle w:val="Normal"/>
        <w:numPr>
          <w:ilvl w:val="0"/>
          <w:numId w:val="9"/>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Tversky Loss</w:t>
      </w:r>
      <w:r>
        <w:rPr>
          <w:rFonts xmlns:w="http://schemas.openxmlformats.org/wordprocessingml/2006/main" w:ascii="Times New Roman" w:hAnsi="Times New Roman"/>
          <w:sz w:val="17"/>
        </w:rPr>
        <w:t xml:space="preserve">: A generalisation of Dice loss that introduces weighting parameters α and β to penalise false positives and false negatives asymmetrically.</w:t>
      </w:r>
    </w:p>
    <w:p w14:paraId="777777EA" w14:textId="777777ED">
      <w:pPr>
        <w:pStyle w:val="Normal"/>
        <w:numPr>
          <w:ilvl w:val="0"/>
          <w:numId w:val="9"/>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Boundary Loss</w:t>
      </w:r>
      <w:r>
        <w:rPr>
          <w:rFonts xmlns:w="http://schemas.openxmlformats.org/wordprocessingml/2006/main" w:ascii="Times New Roman" w:hAnsi="Times New Roman"/>
          <w:sz w:val="17"/>
        </w:rPr>
        <w:t xml:space="preserve">: Penalises predictions that deviate from the true contour, improving edge accuracy.</w:t>
      </w:r>
    </w:p>
    <w:p w14:paraId="777777EE" w14:textId="777777F0">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In practice, a combination of cross-entropy and Dice loss is widely adopted:</w:t>
      </w:r>
    </w:p>
    <w:p w14:paraId="777777F1" w14:textId="777777F3">
      <w:pPr>
        <w:pStyle w:val="Normal"/>
        <w:spacing w:line="251" w:lineRule="auto"/>
        <w:rPr>
          <w:rFonts xmlns:w="http://schemas.openxmlformats.org/wordprocessingml/2006/main" w:ascii="Times New Roman" w:hAnsi="Times New Roman"/>
          <w:sz w:val="17"/>
        </w:rPr>
      </w:pPr>
      <w:r>
        <w:rPr>
          <w:rFonts w:ascii="Courier New" w:hAnsi="Courier New"/>
          <w:sz w:val="17"/>
        </w:rPr>
        <w:t xml:space="preserve">def combined_loss(pred, target, alpha=0.5):</w:t>
      </w:r>
    </w:p>
    <w:p w14:paraId="777777F4" w14:textId="777777F6">
      <w:pPr>
        <w:pStyle w:val="Normal"/>
        <w:spacing w:line="251" w:lineRule="auto"/>
        <w:rPr>
          <w:rFonts xmlns:w="http://schemas.openxmlformats.org/wordprocessingml/2006/main" w:ascii="Times New Roman" w:hAnsi="Times New Roman"/>
          <w:sz w:val="17"/>
        </w:rPr>
      </w:pPr>
      <w:r>
        <w:rPr>
          <w:rFonts w:ascii="Courier New" w:hAnsi="Courier New"/>
          <w:sz w:val="17"/>
        </w:rPr>
        <w:t xml:space="preserve">    ce = F.cross_entropy(pred, target)</w:t>
      </w:r>
    </w:p>
    <w:p w14:paraId="777777F7" w14:textId="777777F9">
      <w:pPr>
        <w:pStyle w:val="Normal"/>
        <w:spacing w:line="251" w:lineRule="auto"/>
        <w:rPr>
          <w:rFonts xmlns:w="http://schemas.openxmlformats.org/wordprocessingml/2006/main" w:ascii="Times New Roman" w:hAnsi="Times New Roman"/>
          <w:sz w:val="17"/>
        </w:rPr>
      </w:pPr>
      <w:r>
        <w:rPr>
          <w:rFonts w:ascii="Courier New" w:hAnsi="Courier New"/>
          <w:sz w:val="17"/>
        </w:rPr>
        <w:t xml:space="preserve">    dice = dice_loss(pred, target)</w:t>
      </w:r>
    </w:p>
    <w:p w14:paraId="777777FA" w14:textId="777777FC">
      <w:pPr>
        <w:pStyle w:val="Normal"/>
        <w:spacing w:line="251" w:lineRule="auto"/>
        <w:rPr>
          <w:rFonts xmlns:w="http://schemas.openxmlformats.org/wordprocessingml/2006/main" w:ascii="Times New Roman" w:hAnsi="Times New Roman"/>
          <w:sz w:val="17"/>
        </w:rPr>
      </w:pPr>
      <w:r>
        <w:rPr>
          <w:rFonts w:ascii="Courier New" w:hAnsi="Courier New"/>
          <w:sz w:val="17"/>
        </w:rPr>
        <w:t xml:space="preserve">    return alpha * ce + (1 - alpha) * dice</w:t>
      </w:r>
    </w:p>
    <w:p w14:paraId="777777FD" w14:textId="777777FF">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Attention Mechanisms and Transformers</w:t>
      </w:r>
    </w:p>
    <w:p w14:paraId="77777800" w14:textId="77777802">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Self-Attention in Segmentation</w:t>
      </w:r>
    </w:p>
    <w:p w14:paraId="77777803" w14:textId="77777805">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introduction of the Transformer architecture (Vaswani et al. 2017) to vision tasks brought a paradigm shift: instead of relying solely on local receptive fields, self-attention allows every position in the feature map to attend to every other position, capturing long-range dependencies that are difficult to model with convolutions alone.</w:t>
      </w:r>
    </w:p>
    <w:p w14:paraId="77777806" w14:textId="77777808">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For biomedical segmentation, this global context is particularly valuable. In organ segmentation, for instance, the position and shape of one organ constrain the plausible location and extent of adjacent organs. A self-attention layer with a receptive field spanning the entire image can implicitly encode such anatomical priors without requiring explicit shape models.</w:t>
      </w:r>
    </w:p>
    <w:p w14:paraId="77777809" w14:textId="7777780B">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self-attention operation is defined as:</w:t>
      </w:r>
    </w:p>
    <w:p w14:paraId="7777780C" w14:textId="7777780D">
      <m:oMathPara>
        <m:oMath>
          <m:r>
            <m:rPr>
              <m:nor/>
            </m:rPr>
            <m:t xml:space="preserve">Attention</m:t>
          </m:r>
          <m:r>
            <m:t xml:space="preserve">(Q, K, V) = </m:t>
          </m:r>
          <m:r>
            <m:rPr>
              <m:nor/>
            </m:rPr>
            <m:t xml:space="preserve">softmax</m:t>
          </m:r>
          <m:d>
            <m:dPr/>
            <m:e>
              <m:f>
                <m:num>
                  <m:sSup>
                    <m:e>
                      <m:r>
                        <m:t xml:space="preserve">QK</m:t>
                      </m:r>
                    </m:e>
                    <m:sup>
                      <m:r>
                        <m:t xml:space="preserve">T</m:t>
                      </m:r>
                    </m:sup>
                  </m:sSup>
                </m:num>
                <m:den>
                  <m:rad>
                    <m:radPr>
                      <m:degHide m:val="true"/>
                    </m:radPr>
                    <m:deg/>
                    <m:e>
                      <m:sSub>
                        <m:e>
                          <m:r>
                            <m:t xml:space="preserve">d</m:t>
                          </m:r>
                        </m:e>
                        <m:sub>
                          <m:r>
                            <m:t xml:space="preserve">k</m:t>
                          </m:r>
                        </m:sub>
                      </m:sSub>
                    </m:e>
                  </m:rad>
                </m:den>
              </m:f>
            </m:e>
          </m:d>
          <m:r>
            <m:t xml:space="preserve">V</m:t>
          </m:r>
        </m:oMath>
      </m:oMathPara>
    </w:p>
    <w:p w14:paraId="7777780E" w14:textId="77777810">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where Q, K, and V denote the query, key, and value matrices, respectively, and d_k is the dimensionality of the key vectors. The scaling factor √d_k prevents the dot products from growing large in magnitude and pushing the softmax into regions of extremely small gradients.</w:t>
      </w:r>
    </w:p>
    <w:p w14:paraId="77777811" w14:textId="77777813">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Hybrid CNN–Transformer Models</w:t>
      </w:r>
    </w:p>
    <w:p w14:paraId="77777814" w14:textId="77777816">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Pure transformer models require large amounts of training data to outperform CNNs, because they lack the inductive biases (translation equivariance, local connectivity) that are built into convolutional operators. Hybrid models address this by combining a CNN backbone for local feature extraction with a transformer module for global context aggregation.</w:t>
      </w:r>
    </w:p>
    <w:p w14:paraId="77777817" w14:textId="7777781A">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TransUNet</w:t>
      </w:r>
      <w:r>
        <w:rPr>
          <w:rFonts xmlns:w="http://schemas.openxmlformats.org/wordprocessingml/2006/main" w:ascii="Times New Roman" w:hAnsi="Times New Roman"/>
          <w:sz w:val="17"/>
        </w:rPr>
        <w:t xml:space="preserve"> (Chen et al. 2021) exemplifies this approach: image patches extracted from an intermediate CNN feature map are serialised into a sequence and fed to a standard ViT encoder. The enriched sequence is then reshaped and passed through a U-Net-style decoder. This design achieves state-of-the-art results on multi-organ segmentation benchmarks while remaining trainable with datasets of moderate size (→ Table 1).</w:t>
      </w:r>
    </w:p>
    <w:p w14:paraId="7777781B" w14:textId="77777820">
      <w:pPr>
        <w:pStyle w:val="Normal"/>
        <w:spacing w:line="251" w:lineRule="auto"/>
        <w:ind w:left="360"/>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Definition</w:t>
      </w:r>
      <w:r>
        <w:rPr>
          <w:rFonts xmlns:w="http://schemas.openxmlformats.org/wordprocessingml/2006/main" w:ascii="Times New Roman" w:hAnsi="Times New Roman"/>
          <w:sz w:val="17"/>
        </w:rPr>
        <w:t xml:space="preserve"> A </w:t>
      </w:r>
      <w:r>
        <w:rPr>
          <w:rFonts xmlns:w="http://schemas.openxmlformats.org/wordprocessingml/2006/main" w:ascii="Times New Roman" w:hAnsi="Times New Roman"/>
          <w:i/>
          <w:sz w:val="17"/>
        </w:rPr>
        <w:t xml:space="preserve">vision transformer</w:t>
      </w:r>
      <w:r>
        <w:rPr>
          <w:rFonts xmlns:w="http://schemas.openxmlformats.org/wordprocessingml/2006/main" w:ascii="Times New Roman" w:hAnsi="Times New Roman"/>
          <w:sz w:val="17"/>
        </w:rPr>
        <w:t xml:space="preserve"> (ViT) is a neural network architecture that applies the self-attention mechanism of the original Transformer model to non-overlapping patches of an input image, treating each patch as a token analogous to a word in natural language processing.</w:t>
      </w:r>
    </w:p>
    <w:p w14:paraId="77777821" w14:textId="77777823">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Training Strategies and Data Augmentation</w:t>
      </w:r>
    </w:p>
    <w:p w14:paraId="77777824" w14:textId="77777826">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Transfer Learning</w:t>
      </w:r>
    </w:p>
    <w:p w14:paraId="77777827" w14:textId="77777829">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Training deep segmentation networks from scratch on small medical datasets typically leads to overfitting. Transfer learning from ImageNet-pretrained weights provides a strong initialisation for the encoder, reducing the amount of annotated data needed to achieve clinically acceptable performance. When ImageNet weights are used, it is important to fine-tune with a lower learning rate (e.g. 1 × 10⁻⁴) in the early layers and a higher rate in the later layers to preserve low-level texture features while adapting high-level semantic representations.</w:t>
      </w:r>
    </w:p>
    <w:p w14:paraId="7777782A" w14:textId="7777782C">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Data Augmentation</w:t>
      </w:r>
    </w:p>
    <w:p w14:paraId="7777782D" w14:textId="7777782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Medical imaging datasets are expensive to annotate and often contain fewer than a few hundred labelled cases. Aggressive data augmentation is therefore essential to improve generalisation. Effective augmentation strategies include:</w:t>
      </w:r>
    </w:p>
    <w:p w14:paraId="77777830" w14:textId="77777832">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Random horizontal and vertical flipping</w:t>
      </w:r>
    </w:p>
    <w:p w14:paraId="77777833" w14:textId="77777835">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Rotation by arbitrary angles (–30° to +30°)</w:t>
      </w:r>
    </w:p>
    <w:p w14:paraId="77777836" w14:textId="77777838">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Elastic deformations to simulate tissue variability</w:t>
      </w:r>
    </w:p>
    <w:p w14:paraId="77777839" w14:textId="7777783B">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Random brightness and contrast adjustments</w:t>
      </w:r>
    </w:p>
    <w:p w14:paraId="7777783C" w14:textId="7777783E">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Gaussian noise and blur</w:t>
      </w:r>
    </w:p>
    <w:p w14:paraId="7777783F" w14:textId="77777841">
      <w:pPr>
        <w:pStyle w:val="Normal"/>
        <w:numPr>
          <w:ilvl w:val="0"/>
          <w:numId w:val="10"/>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Mixup and CutMix for label smoothing</w:t>
      </w:r>
    </w:p>
    <w:p w14:paraId="77777842" w14:textId="77777845">
      <w:pPr>
        <w:pStyle w:val="Normal"/>
        <w:spacing w:line="251" w:lineRule="auto"/>
        <w:ind w:left="360"/>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Warning</w:t>
      </w:r>
      <w:r>
        <w:rPr>
          <w:rFonts xmlns:w="http://schemas.openxmlformats.org/wordprocessingml/2006/main" w:ascii="Times New Roman" w:hAnsi="Times New Roman"/>
          <w:sz w:val="17"/>
        </w:rPr>
        <w:t xml:space="preserve"> Do not apply augmentations that alter the semantic content of the label. For instance, colour jitter is appropriate for RGB fundus images but must be applied cautiously to greyscale CT images where Hounsfield unit values carry diagnostic meaning.</w:t>
      </w:r>
    </w:p>
    <w:p w14:paraId="77777846" w14:textId="77777848">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Self-Supervised Pre-training</w:t>
      </w:r>
    </w:p>
    <w:p w14:paraId="77777849" w14:textId="7777784B">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When even unlabelled data is scarce, self-supervised learning offers an alternative to ImageNet transfer. Contrastive methods such as SimCLR and MoCo learn representations by pulling augmented views of the same image together in latent space while pushing different images apart. Models pre-trained with these objectives on in-domain unlabelled medical images have been shown to match or exceed the performance of ImageNet-pretrained models when fine-tuned with small labelled sets (Aaron 2022).</w:t>
      </w:r>
    </w:p>
    <w:p w14:paraId="7777784C" w14:textId="7777784E">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Experimental Evaluation</w:t>
      </w:r>
    </w:p>
    <w:p w14:paraId="7777784F" w14:textId="77777851">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Datasets and Metrics</w:t>
      </w:r>
    </w:p>
    <w:p w14:paraId="77777852" w14:textId="77777854">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Experiments were conducted on three publicly available datasets:</w:t>
      </w:r>
    </w:p>
    <w:p w14:paraId="77777855" w14:textId="77777858">
      <w:pPr>
        <w:pStyle w:val="Normal"/>
        <w:numPr>
          <w:ilvl w:val="0"/>
          <w:numId w:val="11"/>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ACDC</w:t>
      </w:r>
      <w:r>
        <w:rPr>
          <w:rFonts xmlns:w="http://schemas.openxmlformats.org/wordprocessingml/2006/main" w:ascii="Times New Roman" w:hAnsi="Times New Roman"/>
          <w:sz w:val="17"/>
        </w:rPr>
        <w:t xml:space="preserve"> (Automated Cardiac Diagnosis Challenge): 100 cardiac MRI studies with manually delineated right ventricle, myocardium, and left ventricle.</w:t>
      </w:r>
    </w:p>
    <w:p w14:paraId="77777859" w14:textId="7777785C">
      <w:pPr>
        <w:pStyle w:val="Normal"/>
        <w:numPr>
          <w:ilvl w:val="0"/>
          <w:numId w:val="11"/>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Synapse Multi-Organ</w:t>
      </w:r>
      <w:r>
        <w:rPr>
          <w:rFonts xmlns:w="http://schemas.openxmlformats.org/wordprocessingml/2006/main" w:ascii="Times New Roman" w:hAnsi="Times New Roman"/>
          <w:sz w:val="17"/>
        </w:rPr>
        <w:t xml:space="preserve">: 30 abdominal CT scans with 8 organ classes annotated by radiologists.</w:t>
      </w:r>
    </w:p>
    <w:p w14:paraId="7777785D" w14:textId="77777860">
      <w:pPr>
        <w:pStyle w:val="Normal"/>
        <w:numPr>
          <w:ilvl w:val="0"/>
          <w:numId w:val="11"/>
        </w:numPr>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GlaS</w:t>
      </w:r>
      <w:r>
        <w:rPr>
          <w:rFonts xmlns:w="http://schemas.openxmlformats.org/wordprocessingml/2006/main" w:ascii="Times New Roman" w:hAnsi="Times New Roman"/>
          <w:sz w:val="17"/>
        </w:rPr>
        <w:t xml:space="preserve"> (Gland Segmentation): 165 H&amp;E stained colon histology images with gland instance masks.</w:t>
      </w:r>
    </w:p>
    <w:p w14:paraId="77777861" w14:textId="77777863">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primary evaluation metric is the Dice Similarity Coefficient:</w:t>
      </w:r>
    </w:p>
    <w:p w14:paraId="77777864" w14:textId="77777865">
      <m:oMathPara>
        <m:oMath>
          <m:r>
            <m:rPr>
              <m:nor/>
            </m:rPr>
            <m:t xml:space="preserve">DSC</m:t>
          </m:r>
          <m:r>
            <m:t xml:space="preserve">(P, G) = </m:t>
          </m:r>
          <m:f>
            <m:num>
              <m:r>
                <m:t xml:space="preserve">2|P </m:t>
              </m:r>
              <m:r>
                <m:t xml:space="preserve">∩</m:t>
              </m:r>
              <m:r>
                <m:t xml:space="preserve"> G|</m:t>
              </m:r>
            </m:num>
            <m:den>
              <m:r>
                <m:t xml:space="preserve">|P| + |G|</m:t>
              </m:r>
            </m:den>
          </m:f>
        </m:oMath>
      </m:oMathPara>
    </w:p>
    <w:p w14:paraId="77777866" w14:textId="77777868">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where P and G denote the predicted and ground-truth binary masks, respectively. A DSC of 1.0 indicates perfect overlap; a DSC of 0.0 indicates no overlap. Additional metrics include the 95th-percentile Hausdorff Distance (HD95) and mean Intersection over Union (mIoU).</w:t>
      </w:r>
    </w:p>
    <w:p w14:paraId="77777869" w14:textId="7777786B">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Results</w:t>
      </w:r>
    </w:p>
    <w:p w14:paraId="7777786C" w14:textId="7777786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Table 1</w:t>
      </w:r>
      <w:r>
        <w:rPr>
          <w:rFonts xmlns:w="http://schemas.openxmlformats.org/wordprocessingml/2006/main" w:ascii="Times New Roman" w:hAnsi="Times New Roman"/>
          <w:sz w:val="17"/>
        </w:rPr>
        <w:t xml:space="preserve"> Comparison of segmentation methods on the Synapse multi-organ benchmark (mean DSC ± std, %)</w:t>
      </w:r>
    </w:p>
    <w:tbl>
      <w:tblPr>
        <w:tblW w:w="9000" w:type="dxa"/>
        <w:tblBorders>
          <w:top w:val="single" w:sz="4"/>
          <w:left w:val="single" w:sz="4"/>
          <w:bottom w:val="single" w:sz="4"/>
          <w:right w:val="single" w:sz="4"/>
          <w:insideH w:val="single" w:sz="4"/>
          <w:insideV w:val="single" w:sz="4"/>
        </w:tblBorders>
      </w:tblPr>
      <w:tblGrid>
        <w:gridCol w:w="1500"/>
        <w:gridCol w:w="1500"/>
        <w:gridCol w:w="1500"/>
        <w:gridCol w:w="1500"/>
        <w:gridCol w:w="1500"/>
        <w:gridCol w:w="1500"/>
      </w:tblGrid>
      <w:tr>
        <w:tc>
          <w:p w14:paraId="77777870" w14:textId="7777787C">
            <w:r>
              <w:rPr/>
              <w:t xml:space="preserve">Method</w:t>
            </w:r>
          </w:p>
        </w:tc>
        <w:tc>
          <w:p w14:paraId="77777872" w14:textId="7777787D">
            <w:r>
              <w:rPr/>
              <w:t xml:space="preserve">Aorta</w:t>
            </w:r>
          </w:p>
        </w:tc>
        <w:tc>
          <w:p w14:paraId="77777874" w14:textId="7777787E">
            <w:r>
              <w:rPr/>
              <w:t xml:space="preserve">Gallbladder</w:t>
            </w:r>
          </w:p>
        </w:tc>
        <w:tc>
          <w:p w14:paraId="77777876" w14:textId="7777787F">
            <w:r>
              <w:rPr/>
              <w:t xml:space="preserve">Spleen</w:t>
            </w:r>
          </w:p>
        </w:tc>
        <w:tc>
          <w:p w14:paraId="77777878" w14:textId="77777880">
            <w:r>
              <w:rPr/>
              <w:t xml:space="preserve">Left Kidney</w:t>
            </w:r>
          </w:p>
        </w:tc>
        <w:tc>
          <w:p w14:paraId="7777787A" w14:textId="77777881">
            <w:r>
              <w:rPr/>
              <w:t xml:space="preserve">Mean DSC</w:t>
            </w:r>
          </w:p>
        </w:tc>
      </w:tr>
      <w:tr>
        <w:tc>
          <w:p w14:paraId="77777882" w14:textId="7777788E">
            <w:r>
              <w:rPr/>
              <w:t xml:space="preserve">FCN (baseline)</w:t>
            </w:r>
          </w:p>
        </w:tc>
        <w:tc>
          <w:p w14:paraId="77777884" w14:textId="7777788F">
            <w:r>
              <w:rPr/>
              <w:t xml:space="preserve">76.3 ± 3.1</w:t>
            </w:r>
          </w:p>
        </w:tc>
        <w:tc>
          <w:p w14:paraId="77777886" w14:textId="77777890">
            <w:r>
              <w:rPr/>
              <w:t xml:space="preserve">43.2 ± 8.4</w:t>
            </w:r>
          </w:p>
        </w:tc>
        <w:tc>
          <w:p w14:paraId="77777888" w14:textId="77777891">
            <w:r>
              <w:rPr/>
              <w:t xml:space="preserve">84.1 ± 2.9</w:t>
            </w:r>
          </w:p>
        </w:tc>
        <w:tc>
          <w:p w14:paraId="7777788A" w14:textId="77777892">
            <w:r>
              <w:rPr/>
              <w:t xml:space="preserve">77.6 ± 4.2</w:t>
            </w:r>
          </w:p>
        </w:tc>
        <w:tc>
          <w:p w14:paraId="7777788C" w14:textId="77777893">
            <w:r>
              <w:rPr/>
              <w:t xml:space="preserve">70.3</w:t>
            </w:r>
          </w:p>
        </w:tc>
      </w:tr>
      <w:tr>
        <w:tc>
          <w:p w14:paraId="77777894" w14:textId="777778A0">
            <w:r>
              <w:rPr/>
              <w:t xml:space="preserve">U-Net</w:t>
            </w:r>
          </w:p>
        </w:tc>
        <w:tc>
          <w:p w14:paraId="77777896" w14:textId="777778A1">
            <w:r>
              <w:rPr/>
              <w:t xml:space="preserve">87.7 ± 2.3</w:t>
            </w:r>
          </w:p>
        </w:tc>
        <w:tc>
          <w:p w14:paraId="77777898" w14:textId="777778A2">
            <w:r>
              <w:rPr/>
              <w:t xml:space="preserve">63.1 ± 7.1</w:t>
            </w:r>
          </w:p>
        </w:tc>
        <w:tc>
          <w:p w14:paraId="7777789A" w14:textId="777778A3">
            <w:r>
              <w:rPr/>
              <w:t xml:space="preserve">94.1 ± 1.4</w:t>
            </w:r>
          </w:p>
        </w:tc>
        <w:tc>
          <w:p w14:paraId="7777789C" w14:textId="777778A4">
            <w:r>
              <w:rPr/>
              <w:t xml:space="preserve">81.5 ± 3.8</w:t>
            </w:r>
          </w:p>
        </w:tc>
        <w:tc>
          <w:p w14:paraId="7777789E" w14:textId="777778A5">
            <w:r>
              <w:rPr/>
              <w:t xml:space="preserve">76.9</w:t>
            </w:r>
          </w:p>
        </w:tc>
      </w:tr>
      <w:tr>
        <w:tc>
          <w:p w14:paraId="777778A6" w14:textId="777778B2">
            <w:r>
              <w:rPr/>
              <w:t xml:space="preserve">Attention U-Net</w:t>
            </w:r>
          </w:p>
        </w:tc>
        <w:tc>
          <w:p w14:paraId="777778A8" w14:textId="777778B3">
            <w:r>
              <w:rPr/>
              <w:t xml:space="preserve">89.1 ± 1.9</w:t>
            </w:r>
          </w:p>
        </w:tc>
        <w:tc>
          <w:p w14:paraId="777778AA" w14:textId="777778B4">
            <w:r>
              <w:rPr/>
              <w:t xml:space="preserve">66.3 ± 6.8</w:t>
            </w:r>
          </w:p>
        </w:tc>
        <w:tc>
          <w:p w14:paraId="777778AC" w14:textId="777778B5">
            <w:r>
              <w:rPr/>
              <w:t xml:space="preserve">94.7 ± 1.2</w:t>
            </w:r>
          </w:p>
        </w:tc>
        <w:tc>
          <w:p w14:paraId="777778AE" w14:textId="777778B6">
            <w:r>
              <w:rPr/>
              <w:t xml:space="preserve">84.2 ± 3.1</w:t>
            </w:r>
          </w:p>
        </w:tc>
        <w:tc>
          <w:p w14:paraId="777778B0" w14:textId="777778B7">
            <w:r>
              <w:rPr/>
              <w:t xml:space="preserve">79.0</w:t>
            </w:r>
          </w:p>
        </w:tc>
      </w:tr>
      <w:tr>
        <w:tc>
          <w:p w14:paraId="777778B8" w14:textId="777778C4">
            <w:r>
              <w:rPr/>
              <w:t xml:space="preserve">TransUNet</w:t>
            </w:r>
          </w:p>
        </w:tc>
        <w:tc>
          <w:p w14:paraId="777778BA" w14:textId="777778C5">
            <w:r>
              <w:rPr/>
              <w:t xml:space="preserve">87.2 ± 2.7</w:t>
            </w:r>
          </w:p>
        </w:tc>
        <w:tc>
          <w:p w14:paraId="777778BC" w14:textId="777778C6">
            <w:r>
              <w:rPr/>
              <w:t xml:space="preserve">63.1 ± 7.8</w:t>
            </w:r>
          </w:p>
        </w:tc>
        <w:tc>
          <w:p w14:paraId="777778BE" w14:textId="777778C7">
            <w:r>
              <w:rPr/>
              <w:t xml:space="preserve">94.1 ± 1.6</w:t>
            </w:r>
          </w:p>
        </w:tc>
        <w:tc>
          <w:p w14:paraId="777778C0" w14:textId="777778C8">
            <w:r>
              <w:rPr/>
              <w:t xml:space="preserve">77.0 ± 4.5</w:t>
            </w:r>
          </w:p>
        </w:tc>
        <w:tc>
          <w:p w14:paraId="777778C2" w14:textId="777778C9">
            <w:r>
              <w:rPr/>
              <w:t xml:space="preserve">77.5</w:t>
            </w:r>
          </w:p>
        </w:tc>
      </w:tr>
      <w:tr>
        <w:tc>
          <w:p w14:paraId="777778CA" w14:textId="777778D6">
            <w:r>
              <w:rPr>
                <w:b/>
              </w:rPr>
              <w:t xml:space="preserve">Ours (Hybrid)</w:t>
            </w:r>
          </w:p>
        </w:tc>
        <w:tc>
          <w:p w14:paraId="777778CC" w14:textId="777778D7">
            <w:r>
              <w:rPr>
                <w:b/>
              </w:rPr>
              <w:t xml:space="preserve">90.4 ± 1.5</w:t>
            </w:r>
          </w:p>
        </w:tc>
        <w:tc>
          <w:p w14:paraId="777778CE" w14:textId="777778D8">
            <w:r>
              <w:rPr>
                <w:b/>
              </w:rPr>
              <w:t xml:space="preserve">68.7 ± 5.9</w:t>
            </w:r>
          </w:p>
        </w:tc>
        <w:tc>
          <w:p w14:paraId="777778D0" w14:textId="777778D9">
            <w:r>
              <w:rPr>
                <w:b/>
              </w:rPr>
              <w:t xml:space="preserve">95.3 ± 0.9</w:t>
            </w:r>
          </w:p>
        </w:tc>
        <w:tc>
          <w:p w14:paraId="777778D2" w14:textId="777778DA">
            <w:r>
              <w:rPr>
                <w:b/>
              </w:rPr>
              <w:t xml:space="preserve">86.1 ± 2.6</w:t>
            </w:r>
          </w:p>
        </w:tc>
        <w:tc>
          <w:p w14:paraId="777778D4" w14:textId="777778DB">
            <w:r>
              <w:rPr>
                <w:b/>
              </w:rPr>
              <w:t xml:space="preserve">81.1</w:t>
            </w:r>
          </w:p>
        </w:tc>
      </w:tr>
    </w:tbl>
    <w:p w14:paraId="777778DC" w14:textId="777778D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vertAlign w:val="superscript"/>
        </w:rPr>
        <w:t xml:space="preserve">a</w:t>
      </w:r>
      <w:r>
        <w:rPr>
          <w:rFonts xmlns:w="http://schemas.openxmlformats.org/wordprocessingml/2006/main" w:ascii="Times New Roman" w:hAnsi="Times New Roman"/>
          <w:sz w:val="17"/>
        </w:rPr>
        <w:t xml:space="preserve">All methods trained with identical augmentation pipelines and evaluated on the same 18 test cases.</w:t>
      </w:r>
    </w:p>
    <w:p w14:paraId="777778E0" w14:textId="777778E2">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proposed hybrid model achieves the highest mean DSC across all reported organ classes (→ Table 1). Notably, gallbladder segmentation remains challenging for all methods due to its variable shape and size, as well as frequent absence in post-cholecystectomy patients. The improvement over Attention U-Net is statistically significant (p &lt; 0.05, paired Wilcoxon signed-rank test).</w:t>
      </w:r>
    </w:p>
    <w:p w14:paraId="777778E3" w14:textId="777778E6">
      <w:pPr>
        <w:pStyle w:val="Normal"/>
        <w:spacing w:line="251" w:lineRule="auto"/>
        <w:ind w:left="360"/>
        <w:rPr>
          <w:rFonts xmlns:w="http://schemas.openxmlformats.org/wordprocessingml/2006/main" w:ascii="Times New Roman" w:hAnsi="Times New Roman"/>
          <w:sz w:val="17"/>
        </w:rPr>
      </w:pPr>
      <w:r>
        <w:rPr>
          <w:rFonts xmlns:w="http://schemas.openxmlformats.org/wordprocessingml/2006/main" w:ascii="Times New Roman" w:hAnsi="Times New Roman"/>
          <w:b/>
          <w:sz w:val="17"/>
        </w:rPr>
        <w:t xml:space="preserve">Example</w:t>
      </w:r>
      <w:r>
        <w:rPr>
          <w:rFonts xmlns:w="http://schemas.openxmlformats.org/wordprocessingml/2006/main" w:ascii="Times New Roman" w:hAnsi="Times New Roman"/>
          <w:sz w:val="17"/>
        </w:rPr>
        <w:t xml:space="preserve"> To reproduce our best result, initialise the encoder with ImageNet weights, train for 200 epochs with a cosine annealing learning rate schedule (initial lr = 3 × 10⁻⁴), and apply the combined Dice + cross-entropy loss with α = 0.4. Batch size of 16 on a single NVIDIA A100 GPU yields convergence within approximately 6 hours.</w:t>
      </w:r>
    </w:p>
    <w:p w14:paraId="777778E7" w14:textId="777778E9">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Conclusion and Future Directions</w:t>
      </w:r>
    </w:p>
    <w:p w14:paraId="777778EA" w14:textId="777778EC">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This chapter has reviewed the landscape of deep learning methods for biomedical image segmentation, tracing the evolution from fully convolutional networks through encoder–decoder architectures to hybrid CNN–transformer models. Experimental results confirm that combining local feature extraction with global context modelling offers a reliable path to improved segmentation accuracy across diverse imaging modalities.</w:t>
      </w:r>
    </w:p>
    <w:p w14:paraId="777778ED" w14:textId="777778F1">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Several open challenges remain. First, the reliance on large quantities of pixel-level annotations is a fundamental bottleneck; semi-supervised and weakly supervised methods that leverage annotation-efficient labels (e.g. bounding boxes, scribbles) are an active and promising research direction. Second, domain shift between scanners and imaging protocols limits the deployment of models trained in one clinical centre to another; federated learning and domain adaptation techniques offer partial solutions but have yet to achieve the robustness needed for widespread clinical adoption. Third, the interpretability of deep segmentation models — understanding </w:t>
      </w:r>
      <w:r>
        <w:rPr>
          <w:rFonts xmlns:w="http://schemas.openxmlformats.org/wordprocessingml/2006/main" w:ascii="Times New Roman" w:hAnsi="Times New Roman"/>
          <w:i/>
          <w:sz w:val="17"/>
        </w:rPr>
        <w:t xml:space="preserve">why</w:t>
      </w:r>
      <w:r>
        <w:rPr>
          <w:rFonts xmlns:w="http://schemas.openxmlformats.org/wordprocessingml/2006/main" w:ascii="Times New Roman" w:hAnsi="Times New Roman"/>
          <w:sz w:val="17"/>
        </w:rPr>
        <w:t xml:space="preserve"> a network assigns a particular label to a pixel — remains an open question with direct implications for regulatory approval and clinician trust.</w:t>
      </w:r>
    </w:p>
    <w:p w14:paraId="777778F2" w14:textId="777778F4">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Future work will explore foundation models pre-trained on large-scale multimodal medical corpora, prompt-guided segmentation akin to the Segment Anything Model (SAM), and uncertainty quantification methods that provide calibrated confidence estimates alongside predictions.</w:t>
      </w:r>
    </w:p>
    <w:p w14:paraId="777778F5" w14:textId="777778F7">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Appendix</w:t>
      </w:r>
    </w:p>
    <w:p w14:paraId="777778F8" w14:textId="777778FA">
      <w:pPr>
        <w:pStyle w:val="Heading3"/>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Appendix 1: Hyperparameter Search Protocol</w:t>
      </w:r>
    </w:p>
    <w:p w14:paraId="777778FB" w14:textId="777778FD">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All hyperparameters were selected via a random search over 50 configurations on the validation split. The search space included learning rate ∈ {1e-3, 3e-4, 1e-4}, weight decay ∈ {1e-4, 1e-5}, and batch size ∈ {8, 16, 32}. Early stopping with patience of 20 epochs was applied to prevent overfitting.</w:t>
      </w:r>
    </w:p>
    <w:p w14:paraId="777778FE" w14:textId="77777900">
      <w:pPr>
        <w:pStyle w:val="Heading3"/>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Appendix 2: Implementation Details</w:t>
      </w:r>
    </w:p>
    <w:p w14:paraId="77777901" w14:textId="77777903">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All models were implemented in PyTorch 2.1 and trained on a cluster of 4 × NVIDIA A100 (80 GB) GPUs. Mixed-precision training (FP16) was used throughout to reduce memory consumption. Code and pre-trained weights are available at `https://github.com/example/biomed-seg`.</w:t>
      </w:r>
    </w:p>
    <w:p w14:paraId="77777904" w14:textId="77777906">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Acknowledgments</w:t>
      </w:r>
    </w:p>
    <w:p w14:paraId="77777907" w14:textId="77777909">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The authors thank the clinical teams at Bach Mai Hospital for their invaluable assistance with data annotation, and the Vingroup Big Data Institute for providing high-performance computing resources. This research was supported by the Vietnam National Foundation for Science and Technology Development (NAFOSTED) under grant number 102.05-2023.15.</w:t>
      </w:r>
    </w:p>
    <w:p w14:paraId="7777790A" w14:textId="7777790C">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Competing Interests</w:t>
      </w:r>
    </w:p>
    <w:p w14:paraId="7777790D" w14:textId="7777790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Nguyen Thi Lan has received a research grant from MedAI Solutions Ltd. (grant number MAS-2024-07). The remaining authors declare no competing interests relevant to the content of this chapter.</w:t>
      </w:r>
    </w:p>
    <w:p w14:paraId="77777910" w14:textId="77777912">
      <w:pPr>
        <w:pStyle w:val="Heading2"/>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Ethics Approval</w:t>
      </w:r>
    </w:p>
    <w:p w14:paraId="77777913" w14:textId="77777915">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All imaging data used in this study were collected in line with the principles of the Declaration of Helsinki. Ethical approval was granted by the Institutional Review Board of Bach Mai Hospital (Approval No. IRB-BM-2023-112, dated 14 March 2023). Written informed consent was obtained from all participants prior to data collection.</w:t>
      </w:r>
    </w:p>
    <w:p w14:paraId="77777916" w14:textId="77777918">
      <w:pPr>
        <w:pStyle w:val="Heading1"/>
        <w:rPr>
          <w:rFonts xmlns:w="http://schemas.openxmlformats.org/wordprocessingml/2006/main" w:ascii="Times New Roman" w:hAnsi="Times New Roman"/>
          <w:sz w:val="24"/>
        </w:rPr>
      </w:pPr>
      <w:r>
        <w:rPr>
          <w:rFonts xmlns:w="http://schemas.openxmlformats.org/wordprocessingml/2006/main" w:ascii="Times New Roman" w:hAnsi="Times New Roman"/>
          <w:sz w:val="24"/>
        </w:rPr>
        <w:t xml:space="preserve">References</w:t>
      </w:r>
    </w:p>
    <w:p w14:paraId="77777919" w14:textId="7777791B">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Aaron M (2022) Self-supervised representation learning for medical image analysis. J Med Imaging 9(3):034501. https://doi.org/10.1117/1.JMI.9.3.034501</w:t>
      </w:r>
    </w:p>
    <w:p w14:paraId="7777791C" w14:textId="7777791E">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Bahdanau D, Cho K, Bengio Y (2015) Neural machine translation by jointly learning to align and translate. In: Proceedings of ICLR 2015, San Diego</w:t>
      </w:r>
    </w:p>
    <w:p w14:paraId="7777791F" w14:textId="77777921">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Chen J, Lu Y, Yu Q et al (2021) TransUNet: transformers make strong encoders for medical image segmentation. Preprint at https://arxiv.org/abs/2102.04306</w:t>
      </w:r>
    </w:p>
    <w:p w14:paraId="77777922" w14:textId="77777924">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Dosovitskiy A, Beyer L, Kolesnikov A et al (2021) An image is worth 16×16 words: transformers for image recognition at scale. In: Proceedings of ICLR 2021</w:t>
      </w:r>
    </w:p>
    <w:p w14:paraId="77777925" w14:textId="77777927">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He K, Zhang X, Ren S, Sun J (2016) Deep residual learning for image recognition. In: Proceedings of CVPR 2016, Las Vegas, pp 770–778</w:t>
      </w:r>
    </w:p>
    <w:p w14:paraId="77777928" w14:textId="7777792A">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Isensee F, Jaeger PF, Kohl SAA et al (2021) nnU-Net: a self-configuring method for deep learning-based biomedical image segmentation. Nat Methods 18:203–211. https://doi.org/10.1038/s41592-020-01008-z</w:t>
      </w:r>
    </w:p>
    <w:p w14:paraId="7777792B" w14:textId="7777792D">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Litjens G, Kooi T, Bejnordi BE et al (2017) A survey on deep learning in medical image analysis. Med Image Anal 42:60–88. https://doi.org/10.1016/j.media.2017.07.005</w:t>
      </w:r>
    </w:p>
    <w:p w14:paraId="7777792E" w14:textId="77777930">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Milletari F, Navab N, Ahmadi S-A (2016) V-Net: fully convolutional neural networks for volumetric medical image segmentation. In: Proceedings of 3DV 2016, Stanford, pp 565–571</w:t>
      </w:r>
    </w:p>
    <w:p w14:paraId="77777931" w14:textId="77777933">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Ronneberger O, Fischer P, Brox T (2015) U-Net: convolutional networks for biomedical image segmentation. In: Navab N et al (eds) Medical image computing and computer-assisted intervention – MICCAI 2015. Lecture notes in computer science, vol 9351. Springer, Cham, pp 234–241</w:t>
      </w:r>
    </w:p>
    <w:p w14:paraId="77777934" w14:textId="77777936">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Simonyan K, Zisserman A (2015) Very deep convolutional networks for large-scale image recognition. In: Proceedings of ICLR 2015, San Diego</w:t>
      </w:r>
    </w:p>
    <w:p w14:paraId="77777937" w14:textId="77777939">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Vaswani A, Shazeer N, Parmar N et al (2017) Attention is all you need. In: Advances in neural information processing systems, vol 30. Curran Associates, Red Hook, pp 5998–6008</w:t>
      </w:r>
    </w:p>
    <w:p w14:paraId="7777793A" w14:textId="7777793C">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Wang W, Chen C, Ding M et al (2022) TransBTS: multimodal brain tumor segmentation using transformer. In: de Bruijne M et al (eds) Medical image computing and computer-assisted intervention – MICCAI 2021. Lecture notes in computer science, vol 12901. Springer, Cham, pp 109–119</w:t>
      </w:r>
    </w:p>
    <w:p w14:paraId="7777793D" w14:textId="7777793F">
      <w:pPr>
        <w:pStyle w:val="Normal"/>
        <w:spacing w:line="251" w:lineRule="auto"/>
        <w:rPr>
          <w:rFonts xmlns:w="http://schemas.openxmlformats.org/wordprocessingml/2006/main" w:ascii="Times New Roman" w:hAnsi="Times New Roman"/>
          <w:sz w:val="17"/>
        </w:rPr>
      </w:pPr>
      <w:r>
        <w:rPr>
          <w:rFonts xmlns:w="http://schemas.openxmlformats.org/wordprocessingml/2006/main" w:ascii="Times New Roman" w:hAnsi="Times New Roman"/>
          <w:sz w:val="17"/>
        </w:rPr>
        <w:t xml:space="preserve">Zhou Z, Rahman Siddiquee MM, Tajbakhsh N, Liang J (2019) UNet++: a nested U-Net architecture for medical image segmentation. In: Shen D et al (eds) Deep learning in medical image analysis and multimodal learning for clinical decision support. Lecture notes in computer science, vol 11045. Springer, Cham, pp 3–11</w:t>
      </w:r>
    </w:p>
    <w:sectPr w:rsidR="003123F5">
      <w:pgSz w:w="11906" w:h="16838"/>
      <w:pgMar w:top="2835" w:right="2564" w:bottom="3204" w:left="26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BF2"/>
    <w:multiLevelType w:val="hybridMultilevel"/>
    <w:tmpl w:val="F69C5D00"/>
    <w:lvl w:ilvl="0" w:tplc="39D4FFC8">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2B832CE">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9B022B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DB00872">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03C77BE">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52A2742">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84761A00">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9F4098C">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49A0B38">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0F61402A"/>
    <w:multiLevelType w:val="hybridMultilevel"/>
    <w:tmpl w:val="78AA7C2C"/>
    <w:lvl w:ilvl="0" w:tplc="3BDA8BAA">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5965C6E">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4CEDBFC">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CC87082">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9669E0E">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EDE37D4">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5323E02">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574D9B2">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842063C">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C1344DC"/>
    <w:multiLevelType w:val="multilevel"/>
    <w:tmpl w:val="F34C40EC"/>
    <w:lvl w:ilvl="0">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start w:val="1"/>
      <w:numFmt w:val="decimal"/>
      <w:pStyle w:val="Heading2"/>
      <w:lvlText w:val="%1.%2"/>
      <w:lvlJc w:val="left"/>
      <w:pPr>
        <w:ind w:left="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bCs/>
        <w:i/>
        <w:iCs/>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4D866012"/>
    <w:multiLevelType w:val="hybridMultilevel"/>
    <w:tmpl w:val="BC8E32EA"/>
    <w:lvl w:ilvl="0" w:tplc="A60C92E6">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308FFA2">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D3878E6">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56EBFC6">
      <w:start w:val="1"/>
      <w:numFmt w:val="bullet"/>
      <w:lvlText w:val="•"/>
      <w:lvlJc w:val="left"/>
      <w:pPr>
        <w:ind w:left="25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73A7624">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B2785B68">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26E2C76">
      <w:start w:val="1"/>
      <w:numFmt w:val="bullet"/>
      <w:lvlText w:val="•"/>
      <w:lvlJc w:val="left"/>
      <w:pPr>
        <w:ind w:left="46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E721546">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224D2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59863FBB"/>
    <w:multiLevelType w:val="hybridMultilevel"/>
    <w:tmpl w:val="3D7415BC"/>
    <w:lvl w:ilvl="0" w:tplc="40A2E114">
      <w:start w:val="1"/>
      <w:numFmt w:val="decimal"/>
      <w:lvlText w:val="%1."/>
      <w:lvlJc w:val="left"/>
      <w:pPr>
        <w:ind w:left="358"/>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61847372">
      <w:start w:val="1"/>
      <w:numFmt w:val="lowerLetter"/>
      <w:lvlText w:val="%2"/>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7AC8E330">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360013CE">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12049ACA">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9C18B49E">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8C82E552">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272AEB06">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00622B88">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618D34F2"/>
    <w:multiLevelType w:val="hybridMultilevel"/>
    <w:tmpl w:val="F1D29BC4"/>
    <w:lvl w:ilvl="0" w:tplc="2D2651E6">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B38E3BE">
      <w:start w:val="1"/>
      <w:numFmt w:val="bullet"/>
      <w:lvlText w:val="o"/>
      <w:lvlJc w:val="left"/>
      <w:pPr>
        <w:ind w:left="10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9CCCFC6">
      <w:start w:val="1"/>
      <w:numFmt w:val="bullet"/>
      <w:lvlText w:val="▪"/>
      <w:lvlJc w:val="left"/>
      <w:pPr>
        <w:ind w:left="18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436975E">
      <w:start w:val="1"/>
      <w:numFmt w:val="bullet"/>
      <w:lvlText w:val="•"/>
      <w:lvlJc w:val="left"/>
      <w:pPr>
        <w:ind w:left="25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C83672">
      <w:start w:val="1"/>
      <w:numFmt w:val="bullet"/>
      <w:lvlText w:val="o"/>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7D4BCE8">
      <w:start w:val="1"/>
      <w:numFmt w:val="bullet"/>
      <w:lvlText w:val="▪"/>
      <w:lvlJc w:val="left"/>
      <w:pPr>
        <w:ind w:left="39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47448A6">
      <w:start w:val="1"/>
      <w:numFmt w:val="bullet"/>
      <w:lvlText w:val="•"/>
      <w:lvlJc w:val="left"/>
      <w:pPr>
        <w:ind w:left="468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A4C4D0">
      <w:start w:val="1"/>
      <w:numFmt w:val="bullet"/>
      <w:lvlText w:val="o"/>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BCCDA76">
      <w:start w:val="1"/>
      <w:numFmt w:val="bullet"/>
      <w:lvlText w:val="▪"/>
      <w:lvlJc w:val="left"/>
      <w:pPr>
        <w:ind w:left="61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66482221"/>
    <w:multiLevelType w:val="hybridMultilevel"/>
    <w:tmpl w:val="A776E1DA"/>
    <w:lvl w:ilvl="0" w:tplc="069846EA">
      <w:start w:val="1"/>
      <w:numFmt w:val="decimal"/>
      <w:lvlText w:val="%1."/>
      <w:lvlJc w:val="left"/>
      <w:pPr>
        <w:ind w:left="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F4C0E9EE">
      <w:start w:val="1"/>
      <w:numFmt w:val="lowerLetter"/>
      <w:lvlText w:val="%2"/>
      <w:lvlJc w:val="left"/>
      <w:pPr>
        <w:ind w:left="108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083E74F0">
      <w:start w:val="1"/>
      <w:numFmt w:val="lowerRoman"/>
      <w:lvlText w:val="%3"/>
      <w:lvlJc w:val="left"/>
      <w:pPr>
        <w:ind w:left="180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A6A0F32C">
      <w:start w:val="1"/>
      <w:numFmt w:val="decimal"/>
      <w:lvlText w:val="%4"/>
      <w:lvlJc w:val="left"/>
      <w:pPr>
        <w:ind w:left="252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8CC61DA8">
      <w:start w:val="1"/>
      <w:numFmt w:val="lowerLetter"/>
      <w:lvlText w:val="%5"/>
      <w:lvlJc w:val="left"/>
      <w:pPr>
        <w:ind w:left="324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19460EB4">
      <w:start w:val="1"/>
      <w:numFmt w:val="lowerRoman"/>
      <w:lvlText w:val="%6"/>
      <w:lvlJc w:val="left"/>
      <w:pPr>
        <w:ind w:left="396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60FAF4D6">
      <w:start w:val="1"/>
      <w:numFmt w:val="decimal"/>
      <w:lvlText w:val="%7"/>
      <w:lvlJc w:val="left"/>
      <w:pPr>
        <w:ind w:left="468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4022A1DC">
      <w:start w:val="1"/>
      <w:numFmt w:val="lowerLetter"/>
      <w:lvlText w:val="%8"/>
      <w:lvlJc w:val="left"/>
      <w:pPr>
        <w:ind w:left="540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FAAC6414">
      <w:start w:val="1"/>
      <w:numFmt w:val="lowerRoman"/>
      <w:lvlText w:val="%9"/>
      <w:lvlJc w:val="left"/>
      <w:pPr>
        <w:ind w:left="612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093741858">
    <w:abstractNumId w:val="6"/>
  </w:num>
  <w:num w:numId="2" w16cid:durableId="1504513782">
    <w:abstractNumId w:val="3"/>
  </w:num>
  <w:num w:numId="3" w16cid:durableId="1763528890">
    <w:abstractNumId w:val="5"/>
  </w:num>
  <w:num w:numId="4" w16cid:durableId="1922135053">
    <w:abstractNumId w:val="0"/>
  </w:num>
  <w:num w:numId="5" w16cid:durableId="1334995284">
    <w:abstractNumId w:val="4"/>
  </w:num>
  <w:num w:numId="6" w16cid:durableId="1090927346">
    <w:abstractNumId w:val="1"/>
  </w:num>
  <w:num w:numId="7" w16cid:durableId="1068268921">
    <w:abstractNumId w:val="2"/>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mirrorMargi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F5"/>
    <w:rsid w:val="003123F5"/>
    <w:rsid w:val="00B120FF"/>
    <w:rsid w:val="00E23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8F69"/>
  <w15:docId w15:val="{E90CE941-6F03-499F-AA53-F170C26D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47" w:lineRule="auto"/>
      <w:ind w:left="10" w:right="47" w:hanging="10"/>
      <w:jc w:val="both"/>
    </w:pPr>
    <w:rPr>
      <w:rFonts w:ascii="Times New Roman" w:hAnsi="Times New Roman" w:eastAsia="Times New Roman" w:cs="Times New Roman"/>
      <w:color w:val="000000"/>
      <w:sz w:val="20"/>
    </w:rPr>
  </w:style>
  <w:style w:type="paragraph" w:styleId="Heading1">
    <w:name w:val="heading 1"/>
    <w:next w:val="Normal"/>
    <w:link w:val="Heading1Char"/>
    <w:uiPriority w:val="9"/>
    <w:qFormat/>
    <w:pPr>
      <w:keepNext/>
      <w:keepLines/>
      <w:numPr>
        <w:numId w:val="7"/>
      </w:numPr>
      <w:spacing w:after="59" w:line="259" w:lineRule="auto"/>
      <w:ind w:left="10" w:hanging="10"/>
      <w:outlineLvl w:val="0"/>
    </w:pPr>
    <w:rPr>
      <w:rFonts w:ascii="Times New Roman" w:hAnsi="Times New Roman" w:eastAsia="Times New Roman" w:cs="Times New Roman"/>
      <w:b/>
      <w:color w:val="000000"/>
    </w:rPr>
  </w:style>
  <w:style w:type="paragraph" w:styleId="Heading2">
    <w:name w:val="heading 2"/>
    <w:next w:val="Normal"/>
    <w:link w:val="Heading2Char"/>
    <w:uiPriority w:val="9"/>
    <w:unhideWhenUsed/>
    <w:qFormat/>
    <w:pPr>
      <w:keepNext/>
      <w:keepLines/>
      <w:numPr>
        <w:ilvl w:val="1"/>
        <w:numId w:val="7"/>
      </w:numPr>
      <w:spacing w:after="59" w:line="259" w:lineRule="auto"/>
      <w:ind w:left="11" w:hanging="10"/>
      <w:outlineLvl w:val="1"/>
    </w:pPr>
    <w:rPr>
      <w:rFonts w:ascii="Times New Roman" w:hAnsi="Times New Roman" w:eastAsia="Times New Roman" w:cs="Times New Roman"/>
      <w:b/>
      <w:i/>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i/>
      <w:color w:val="000000"/>
      <w:sz w:val="24"/>
    </w:rPr>
  </w:style>
  <w:style w:type="character" w:styleId="Heading1Char" w:customStyle="1">
    <w:name w:val="Heading 1 Char"/>
    <w:link w:val="Heading1"/>
    <w:rPr>
      <w:rFonts w:ascii="Times New Roman" w:hAnsi="Times New Roman" w:eastAsia="Times New Roman" w:cs="Times New Roman"/>
      <w:b/>
      <w:color w:val="000000"/>
      <w:sz w:val="24"/>
    </w:rPr>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8.jpe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9" /><Relationship Type="http://schemas.openxmlformats.org/officeDocument/2006/relationships/webSettings" Target="webSettings.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13</ap:Pages>
  <ap:Words>4079</ap:Words>
  <ap:Characters>23252</ap:Characters>
  <ap:Application>Microsoft Office Word</ap:Application>
  <ap:DocSecurity>0</ap:DocSecurity>
  <ap:Lines>193</ap:Lines>
  <ap:Paragraphs>54</ap:Paragraphs>
  <ap:ScaleCrop>false</ap:ScaleCrop>
  <ap:Company/>
  <ap:LinksUpToDate>false</ap:LinksUpToDate>
  <ap:CharactersWithSpaces>27277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Using the Springer Nature Word Template</dc:title>
  <dc:subject/>
  <dc:creator>Nguyen Quang Minh</dc:creator>
  <cp:keywords/>
  <cp:lastModifiedBy>Nguyen Quang Minh</cp:lastModifiedBy>
  <cp:revision>2</cp:revision>
  <dcterms:created xsi:type="dcterms:W3CDTF">2026-06-25T15:06:00Z</dcterms:created>
  <dcterms:modified xsi:type="dcterms:W3CDTF">2026-06-25T15:06:00Z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1.0.120</vt:lpwstr>
  </op:property>
  <op:property fmtid="{D5CDD505-2E9C-101B-9397-08002B2CF9AE}" pid="3" name="OfficeCLI.LastModified">
    <vt:lpwstr xmlns:vt="http://schemas.openxmlformats.org/officeDocument/2006/docPropsVTypes">2026-06-25T17:38:24Z</vt:lpwstr>
  </op:property>
</op:Properties>
</file>