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sz w:val="38"/>
          <w:szCs w:val="38"/>
        </w:rPr>
      </w:pPr>
      <w:bookmarkStart w:id="0" w:name="_Hlk144491394"/>
      <w:r>
        <w:rPr>
          <w:b/>
          <w:bCs/>
          <w:sz w:val="38"/>
          <w:szCs w:val="38"/>
        </w:rPr>
        <w:t>TRƯỜNG ĐẠI HỌC SƯ PHẠM KỸ THUẬT TP. HCM</w:t>
      </w:r>
    </w:p>
    <w:p>
      <w:pPr>
        <w:pStyle w:val="6"/>
        <w:jc w:val="center"/>
        <w:rPr>
          <w:sz w:val="40"/>
          <w:szCs w:val="40"/>
        </w:rPr>
      </w:pPr>
    </w:p>
    <w:p>
      <w:pPr>
        <w:spacing w:after="0"/>
        <w:jc w:val="center"/>
        <w:rPr>
          <w:b/>
          <w:sz w:val="28"/>
          <w:szCs w:val="28"/>
        </w:rPr>
      </w:pPr>
      <w:r>
        <w:rPr>
          <w:b/>
          <w:sz w:val="28"/>
          <w:szCs w:val="28"/>
        </w:rPr>
        <w:t>KHOA ĐÀO TẠO CHẤT LƯỢNG CAO</w:t>
      </w:r>
    </w:p>
    <w:p>
      <w:pPr>
        <w:spacing w:after="0"/>
        <w:jc w:val="center"/>
        <w:rPr>
          <w:b/>
          <w:sz w:val="28"/>
          <w:szCs w:val="28"/>
        </w:rPr>
      </w:pPr>
      <w:r>
        <w:rPr>
          <w:b/>
          <w:sz w:val="28"/>
          <w:szCs w:val="28"/>
        </w:rPr>
        <w:t>NGÀNH CÔNG NGHỆ THÔNG TIN</w:t>
      </w:r>
    </w:p>
    <w:p>
      <w:pPr>
        <w:spacing w:after="0"/>
        <w:jc w:val="center"/>
        <w:rPr>
          <w:b/>
          <w:sz w:val="28"/>
          <w:szCs w:val="28"/>
        </w:rPr>
      </w:pPr>
    </w:p>
    <w:p>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pPr>
        <w:jc w:val="center"/>
        <w:rPr>
          <w:b/>
        </w:rPr>
      </w:pPr>
    </w:p>
    <w:p>
      <w:pPr>
        <w:jc w:val="center"/>
        <w:rPr>
          <w:b/>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120015</wp:posOffset>
            </wp:positionV>
            <wp:extent cx="1697355" cy="112395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pPr>
        <w:jc w:val="center"/>
        <w:rPr>
          <w:b/>
        </w:rPr>
      </w:pPr>
    </w:p>
    <w:p>
      <w:pPr>
        <w:jc w:val="center"/>
      </w:pPr>
    </w:p>
    <w:p>
      <w:pPr>
        <w:jc w:val="center"/>
        <w:rPr>
          <w:b/>
          <w:sz w:val="40"/>
          <w:szCs w:val="40"/>
        </w:rPr>
      </w:pPr>
    </w:p>
    <w:p>
      <w:pPr>
        <w:jc w:val="center"/>
        <w:rPr>
          <w:b/>
          <w:sz w:val="40"/>
          <w:szCs w:val="40"/>
        </w:rPr>
      </w:pPr>
    </w:p>
    <w:p>
      <w:pPr>
        <w:rPr>
          <w:b/>
          <w:bCs/>
          <w:sz w:val="40"/>
          <w:szCs w:val="40"/>
        </w:rPr>
      </w:pPr>
      <w:bookmarkStart w:id="1" w:name="_Hlk106139790"/>
      <w:r>
        <w:rPr>
          <w:b/>
          <w:bCs/>
          <w:sz w:val="40"/>
          <w:szCs w:val="40"/>
        </w:rPr>
        <w:t>BÁO CÁO ĐỒ ÁN CÔNG NGHỆ THÔNG TIN</w:t>
      </w:r>
    </w:p>
    <w:p>
      <w:pPr>
        <w:jc w:val="center"/>
        <w:rPr>
          <w:rFonts w:hint="default"/>
          <w:b/>
          <w:iCs/>
          <w:sz w:val="40"/>
          <w:szCs w:val="40"/>
          <w:lang w:val="en-US"/>
        </w:rPr>
      </w:pPr>
      <w:r>
        <w:rPr>
          <w:b/>
          <w:iCs/>
          <w:sz w:val="40"/>
          <w:szCs w:val="40"/>
        </w:rPr>
        <w:t>TUẦN 1</w:t>
      </w:r>
      <w:r>
        <w:rPr>
          <w:rFonts w:hint="default"/>
          <w:b/>
          <w:iCs/>
          <w:sz w:val="40"/>
          <w:szCs w:val="40"/>
          <w:lang w:val="en-US"/>
        </w:rPr>
        <w:t>1</w:t>
      </w:r>
    </w:p>
    <w:p>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pPr>
        <w:jc w:val="center"/>
        <w:rPr>
          <w:b/>
          <w:sz w:val="40"/>
          <w:szCs w:val="40"/>
          <w:lang w:val="en-AU"/>
        </w:rPr>
      </w:pPr>
    </w:p>
    <w:p>
      <w:pPr>
        <w:jc w:val="center"/>
        <w:rPr>
          <w:b/>
          <w:lang w:val="en-AU"/>
        </w:rPr>
      </w:pPr>
    </w:p>
    <w:p>
      <w:pPr>
        <w:rPr>
          <w:b/>
          <w:lang w:val="en-AU"/>
        </w:rPr>
      </w:pPr>
    </w:p>
    <w:p>
      <w:pPr>
        <w:rPr>
          <w:iCs/>
          <w:lang w:val="en-AU"/>
        </w:rPr>
      </w:pPr>
      <w:r>
        <w:rPr>
          <w:b/>
          <w:bCs/>
          <w:iCs/>
        </w:rPr>
        <w:t>GVHD</w:t>
      </w:r>
      <w:r>
        <w:rPr>
          <w:iCs/>
        </w:rPr>
        <w:t xml:space="preserve">: ThS. </w:t>
      </w:r>
      <w:r>
        <w:rPr>
          <w:iCs/>
          <w:lang w:val="en-AU"/>
        </w:rPr>
        <w:t>Nguyễn Quang Ngọc</w:t>
      </w:r>
    </w:p>
    <w:p>
      <w:pPr>
        <w:rPr>
          <w:iCs/>
          <w:lang w:val="en-AU"/>
        </w:rPr>
      </w:pPr>
      <w:r>
        <w:rPr>
          <w:b/>
          <w:bCs/>
          <w:iCs/>
        </w:rPr>
        <w:t>Sinh viên thực hiện</w:t>
      </w:r>
      <w:r>
        <w:rPr>
          <w:iCs/>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
              </w:rPr>
            </w:pPr>
            <w:r>
              <w:rPr>
                <w:b/>
              </w:rPr>
              <w:t>HỌ VÀ TÊN</w:t>
            </w:r>
          </w:p>
        </w:tc>
        <w:tc>
          <w:tcPr>
            <w:tcW w:w="4675" w:type="dxa"/>
          </w:tcPr>
          <w:p>
            <w:pPr>
              <w:spacing w:after="0"/>
              <w:jc w:val="center"/>
              <w:rPr>
                <w:b/>
              </w:rPr>
            </w:pPr>
            <w:r>
              <w:rPr>
                <w:b/>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lang w:val="vi-VN"/>
              </w:rPr>
            </w:pPr>
            <w:r>
              <w:rPr>
                <w:bCs/>
                <w:sz w:val="28"/>
                <w:szCs w:val="28"/>
              </w:rPr>
              <w:t>Nguyễn Minh Quang</w:t>
            </w:r>
          </w:p>
        </w:tc>
        <w:tc>
          <w:tcPr>
            <w:tcW w:w="4675" w:type="dxa"/>
          </w:tcPr>
          <w:p>
            <w:pPr>
              <w:spacing w:after="0"/>
              <w:jc w:val="center"/>
              <w:rPr>
                <w:bCs/>
                <w:sz w:val="28"/>
                <w:szCs w:val="28"/>
              </w:rPr>
            </w:pPr>
            <w:r>
              <w:rPr>
                <w:bCs/>
                <w:sz w:val="28"/>
                <w:szCs w:val="28"/>
              </w:rPr>
              <w:t>20143481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rPr>
            </w:pPr>
            <w:r>
              <w:rPr>
                <w:bCs/>
                <w:sz w:val="28"/>
                <w:szCs w:val="28"/>
              </w:rPr>
              <w:t>Đỗ Minh Cường</w:t>
            </w:r>
          </w:p>
        </w:tc>
        <w:tc>
          <w:tcPr>
            <w:tcW w:w="4675" w:type="dxa"/>
          </w:tcPr>
          <w:p>
            <w:pPr>
              <w:spacing w:after="0"/>
              <w:jc w:val="center"/>
              <w:rPr>
                <w:bCs/>
                <w:sz w:val="28"/>
                <w:szCs w:val="28"/>
              </w:rPr>
            </w:pPr>
            <w:r>
              <w:rPr>
                <w:bCs/>
                <w:sz w:val="28"/>
                <w:szCs w:val="28"/>
              </w:rPr>
              <w:t>21110147</w:t>
            </w:r>
          </w:p>
        </w:tc>
      </w:tr>
      <w:bookmarkEnd w:id="0"/>
    </w:tbl>
    <w:p>
      <w:pPr>
        <w:rPr>
          <w:b/>
          <w:bCs/>
          <w:sz w:val="40"/>
          <w:szCs w:val="40"/>
        </w:rPr>
      </w:pPr>
    </w:p>
    <w:p>
      <w:pPr>
        <w:pStyle w:val="2"/>
        <w:numPr>
          <w:ilvl w:val="0"/>
          <w:numId w:val="1"/>
        </w:numPr>
        <w:shd w:val="clear" w:color="auto" w:fill="1B387C"/>
        <w:spacing w:before="0"/>
        <w:ind w:left="1440" w:hanging="360"/>
        <w:textAlignment w:val="baseline"/>
        <w:rPr>
          <w:rFonts w:cs="Times New Roman"/>
          <w:b w:val="0"/>
          <w:bCs/>
          <w:color w:val="FFFFFF"/>
          <w:sz w:val="32"/>
          <w:szCs w:val="32"/>
        </w:rPr>
      </w:pPr>
      <w:r>
        <w:rPr>
          <w:rFonts w:cs="Times New Roman"/>
          <w:b w:val="0"/>
          <w:color w:val="FFFFFF"/>
          <w:sz w:val="32"/>
          <w:szCs w:val="32"/>
        </w:rPr>
        <w:t>Tiến độ nhiệm vụ</w:t>
      </w:r>
    </w:p>
    <w:tbl>
      <w:tblPr>
        <w:tblStyle w:val="5"/>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173"/>
        <w:gridCol w:w="594"/>
        <w:gridCol w:w="569"/>
        <w:gridCol w:w="565"/>
        <w:gridCol w:w="567"/>
        <w:gridCol w:w="567"/>
        <w:gridCol w:w="567"/>
        <w:gridCol w:w="480"/>
        <w:gridCol w:w="480"/>
        <w:gridCol w:w="480"/>
        <w:gridCol w:w="516"/>
        <w:gridCol w:w="513"/>
        <w:gridCol w:w="341"/>
        <w:gridCol w:w="451"/>
        <w:gridCol w:w="116"/>
        <w:gridCol w:w="309"/>
        <w:gridCol w:w="116"/>
        <w:gridCol w:w="450"/>
        <w:gridCol w:w="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 w:type="dxa"/>
        </w:trPr>
        <w:tc>
          <w:tcPr>
            <w:tcW w:w="9350" w:type="dxa"/>
            <w:gridSpan w:val="19"/>
          </w:tcPr>
          <w:p>
            <w:pPr>
              <w:jc w:val="center"/>
            </w:pPr>
            <w:r>
              <w:t>Tiến trình hoàn thành môn Đồ án CNTT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 w:type="dxa"/>
        </w:trPr>
        <w:tc>
          <w:tcPr>
            <w:tcW w:w="496" w:type="dxa"/>
          </w:tcPr>
          <w:p>
            <w:pPr>
              <w:jc w:val="center"/>
            </w:pPr>
          </w:p>
        </w:tc>
        <w:tc>
          <w:tcPr>
            <w:tcW w:w="1173" w:type="dxa"/>
          </w:tcPr>
          <w:p>
            <w:pPr>
              <w:jc w:val="center"/>
            </w:pPr>
            <w:r>
              <w:t>Các phương thức</w:t>
            </w:r>
          </w:p>
        </w:tc>
        <w:tc>
          <w:tcPr>
            <w:tcW w:w="6690" w:type="dxa"/>
            <w:gridSpan w:val="13"/>
          </w:tcPr>
          <w:p>
            <w:pPr>
              <w:jc w:val="center"/>
            </w:pPr>
            <w:r>
              <w:t>TKB</w:t>
            </w:r>
          </w:p>
        </w:tc>
        <w:tc>
          <w:tcPr>
            <w:tcW w:w="425" w:type="dxa"/>
            <w:gridSpan w:val="2"/>
          </w:tcPr>
          <w:p>
            <w:pPr>
              <w:jc w:val="center"/>
            </w:pPr>
            <w:r>
              <w:t>Cường</w:t>
            </w:r>
          </w:p>
        </w:tc>
        <w:tc>
          <w:tcPr>
            <w:tcW w:w="566" w:type="dxa"/>
            <w:gridSpan w:val="2"/>
          </w:tcPr>
          <w:p>
            <w:pPr>
              <w:jc w:val="center"/>
            </w:pPr>
            <w:r>
              <w:t>Quang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w:t>
            </w:r>
          </w:p>
        </w:tc>
        <w:tc>
          <w:tcPr>
            <w:tcW w:w="1173" w:type="dxa"/>
          </w:tcPr>
          <w:p>
            <w:pPr>
              <w:jc w:val="center"/>
            </w:pPr>
            <w:r>
              <w:t>Tạo 1 đồ thị</w:t>
            </w:r>
          </w:p>
        </w:tc>
        <w:tc>
          <w:tcPr>
            <w:tcW w:w="594" w:type="dxa"/>
          </w:tcPr>
          <w:p>
            <w:pPr>
              <w:jc w:val="center"/>
            </w:pPr>
            <w:r>
              <w:t>o</w:t>
            </w:r>
          </w:p>
        </w:tc>
        <w:tc>
          <w:tcPr>
            <w:tcW w:w="569" w:type="dxa"/>
          </w:tcPr>
          <w:p>
            <w:pPr>
              <w:jc w:val="center"/>
            </w:pPr>
            <w:r>
              <w:t>o</w:t>
            </w: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2</w:t>
            </w:r>
          </w:p>
        </w:tc>
        <w:tc>
          <w:tcPr>
            <w:tcW w:w="1173" w:type="dxa"/>
          </w:tcPr>
          <w:p>
            <w:r>
              <w:t>Thêm một đỉnh vào đồ thị đã có</w:t>
            </w:r>
          </w:p>
          <w:p>
            <w:pPr>
              <w:jc w:val="center"/>
            </w:pPr>
          </w:p>
        </w:tc>
        <w:tc>
          <w:tcPr>
            <w:tcW w:w="594" w:type="dxa"/>
          </w:tcPr>
          <w:p>
            <w:pPr>
              <w:jc w:val="center"/>
            </w:pPr>
          </w:p>
        </w:tc>
        <w:tc>
          <w:tcPr>
            <w:tcW w:w="569" w:type="dxa"/>
          </w:tcPr>
          <w:p>
            <w:pPr>
              <w:jc w:val="center"/>
            </w:pPr>
          </w:p>
        </w:tc>
        <w:tc>
          <w:tcPr>
            <w:tcW w:w="565" w:type="dxa"/>
          </w:tcPr>
          <w:p>
            <w:pPr>
              <w:jc w:val="center"/>
            </w:pPr>
            <w:r>
              <w:t>o</w:t>
            </w: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3</w:t>
            </w:r>
          </w:p>
        </w:tc>
        <w:tc>
          <w:tcPr>
            <w:tcW w:w="1173" w:type="dxa"/>
          </w:tcPr>
          <w:p>
            <w:r>
              <w:t>Thay đổi thông tin của một đỉnh</w:t>
            </w:r>
          </w:p>
          <w:p>
            <w:pPr>
              <w:jc w:val="center"/>
            </w:pPr>
          </w:p>
        </w:tc>
        <w:tc>
          <w:tcPr>
            <w:tcW w:w="594" w:type="dxa"/>
          </w:tcPr>
          <w:p>
            <w:pPr>
              <w:jc w:val="center"/>
            </w:pPr>
          </w:p>
        </w:tc>
        <w:tc>
          <w:tcPr>
            <w:tcW w:w="569" w:type="dxa"/>
          </w:tcPr>
          <w:p>
            <w:pPr>
              <w:jc w:val="center"/>
            </w:pPr>
          </w:p>
        </w:tc>
        <w:tc>
          <w:tcPr>
            <w:tcW w:w="565" w:type="dxa"/>
          </w:tcPr>
          <w:p>
            <w:pPr>
              <w:jc w:val="center"/>
            </w:pPr>
            <w:r>
              <w:t>o</w:t>
            </w: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4</w:t>
            </w:r>
          </w:p>
        </w:tc>
        <w:tc>
          <w:tcPr>
            <w:tcW w:w="1173" w:type="dxa"/>
          </w:tcPr>
          <w:p>
            <w:r>
              <w:t>Thêm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r>
              <w:t>o</w:t>
            </w: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5</w:t>
            </w:r>
          </w:p>
        </w:tc>
        <w:tc>
          <w:tcPr>
            <w:tcW w:w="1173" w:type="dxa"/>
          </w:tcPr>
          <w:p>
            <w:r>
              <w:t>Thay đổi trọng số của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r>
              <w:t>o</w:t>
            </w: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6</w:t>
            </w:r>
          </w:p>
        </w:tc>
        <w:tc>
          <w:tcPr>
            <w:tcW w:w="1173" w:type="dxa"/>
          </w:tcPr>
          <w:p>
            <w:r>
              <w:t>Xuất các tên đỉnh, tên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r>
              <w:t>o</w:t>
            </w: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7</w:t>
            </w:r>
          </w:p>
        </w:tc>
        <w:tc>
          <w:tcPr>
            <w:tcW w:w="1173" w:type="dxa"/>
          </w:tcPr>
          <w:p>
            <w:r>
              <w:t>Xuất thông tin 1 đỉnh, 1 cạnh</w:t>
            </w:r>
          </w:p>
          <w:p>
            <w:pPr>
              <w:jc w:val="center"/>
            </w:pPr>
          </w:p>
        </w:tc>
        <w:tc>
          <w:tcPr>
            <w:tcW w:w="594" w:type="dxa"/>
          </w:tcPr>
          <w:p>
            <w:pPr>
              <w:jc w:val="center"/>
            </w:pPr>
            <w:r>
              <w:t>o</w:t>
            </w:r>
          </w:p>
        </w:tc>
        <w:tc>
          <w:tcPr>
            <w:tcW w:w="569" w:type="dxa"/>
          </w:tcPr>
          <w:p>
            <w:pPr>
              <w:jc w:val="center"/>
            </w:pPr>
            <w:r>
              <w:t>o</w:t>
            </w:r>
          </w:p>
        </w:tc>
        <w:tc>
          <w:tcPr>
            <w:tcW w:w="565" w:type="dxa"/>
          </w:tcPr>
          <w:p>
            <w:pPr>
              <w:jc w:val="center"/>
            </w:pPr>
          </w:p>
        </w:tc>
        <w:tc>
          <w:tcPr>
            <w:tcW w:w="567" w:type="dxa"/>
          </w:tcPr>
          <w:p>
            <w:pPr>
              <w:jc w:val="center"/>
            </w:pPr>
          </w:p>
        </w:tc>
        <w:tc>
          <w:tcPr>
            <w:tcW w:w="567" w:type="dxa"/>
          </w:tcPr>
          <w:p>
            <w:pPr>
              <w:jc w:val="center"/>
            </w:pPr>
            <w:r>
              <w:t>o</w:t>
            </w: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8</w:t>
            </w:r>
          </w:p>
        </w:tc>
        <w:tc>
          <w:tcPr>
            <w:tcW w:w="1173" w:type="dxa"/>
          </w:tcPr>
          <w:p>
            <w:r>
              <w:t>Xuất ma trận kề, ma trận liên kết</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9</w:t>
            </w:r>
          </w:p>
        </w:tc>
        <w:tc>
          <w:tcPr>
            <w:tcW w:w="1173" w:type="dxa"/>
          </w:tcPr>
          <w:p>
            <w:r>
              <w:t>Duyệt đồ thị theo chiều rộng, chiều xâu</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r>
              <w:rPr>
                <w:color w:val="AFABAB" w:themeColor="background2" w:themeShade="BF"/>
              </w:rPr>
              <w:t>o</w:t>
            </w: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10</w:t>
            </w:r>
          </w:p>
        </w:tc>
        <w:tc>
          <w:tcPr>
            <w:tcW w:w="1173" w:type="dxa"/>
          </w:tcPr>
          <w:p>
            <w:pPr>
              <w:spacing w:before="40" w:after="40" w:line="360" w:lineRule="auto"/>
            </w:pPr>
            <w:r>
              <w:t>Đường đi ngắn nhất từ đỉnh v đến đỉnh w</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r>
              <w:t>o</w:t>
            </w: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11</w:t>
            </w:r>
          </w:p>
        </w:tc>
        <w:tc>
          <w:tcPr>
            <w:tcW w:w="1173" w:type="dxa"/>
          </w:tcPr>
          <w:p>
            <w:r>
              <w:t>Kiểm tra có chu trình Euler</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r>
              <w:t>o</w:t>
            </w:r>
          </w:p>
        </w:tc>
        <w:tc>
          <w:tcPr>
            <w:tcW w:w="480" w:type="dxa"/>
          </w:tcPr>
          <w:p>
            <w:pPr>
              <w:jc w:val="center"/>
            </w:pP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12</w:t>
            </w:r>
          </w:p>
        </w:tc>
        <w:tc>
          <w:tcPr>
            <w:tcW w:w="1173" w:type="dxa"/>
          </w:tcPr>
          <w:p>
            <w:r>
              <w:t>Cây khung bé nhất</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r>
              <w:t>o</w:t>
            </w:r>
          </w:p>
        </w:tc>
        <w:tc>
          <w:tcPr>
            <w:tcW w:w="516" w:type="dxa"/>
          </w:tcPr>
          <w:p>
            <w:pPr>
              <w:jc w:val="center"/>
            </w:pP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 xml:space="preserve">13 </w:t>
            </w:r>
          </w:p>
        </w:tc>
        <w:tc>
          <w:tcPr>
            <w:tcW w:w="1173" w:type="dxa"/>
          </w:tcPr>
          <w:p>
            <w:r>
              <w:t xml:space="preserve">Tìm </w:t>
            </w:r>
            <w:bookmarkStart w:id="2" w:name="_Hlk149398762"/>
            <w:r>
              <w:t>dòng chảy lớn nhất (NetworkModel)</w:t>
            </w:r>
            <w:bookmarkEnd w:id="2"/>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516" w:type="dxa"/>
          </w:tcPr>
          <w:p>
            <w:pPr>
              <w:jc w:val="center"/>
            </w:pPr>
            <w:r>
              <w:rPr>
                <w:color w:val="AFABAB" w:themeColor="background2" w:themeShade="BF"/>
              </w:rPr>
              <w:t>o</w:t>
            </w:r>
          </w:p>
        </w:tc>
        <w:tc>
          <w:tcPr>
            <w:tcW w:w="513" w:type="dxa"/>
          </w:tcPr>
          <w:p>
            <w:pPr>
              <w:jc w:val="center"/>
            </w:pP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23" w:hRule="atLeast"/>
        </w:trPr>
        <w:tc>
          <w:tcPr>
            <w:tcW w:w="1669" w:type="dxa"/>
            <w:gridSpan w:val="2"/>
          </w:tcPr>
          <w:p>
            <w:pPr>
              <w:jc w:val="center"/>
            </w:pPr>
            <w:r>
              <w:t>Day</w:t>
            </w:r>
          </w:p>
        </w:tc>
        <w:tc>
          <w:tcPr>
            <w:tcW w:w="594" w:type="dxa"/>
            <w:textDirection w:val="btLr"/>
          </w:tcPr>
          <w:p>
            <w:pPr>
              <w:ind w:left="113" w:right="113"/>
              <w:jc w:val="center"/>
            </w:pPr>
            <w:r>
              <w:t>03/09/2023</w:t>
            </w:r>
          </w:p>
        </w:tc>
        <w:tc>
          <w:tcPr>
            <w:tcW w:w="569" w:type="dxa"/>
            <w:textDirection w:val="btLr"/>
          </w:tcPr>
          <w:p>
            <w:pPr>
              <w:jc w:val="center"/>
            </w:pPr>
            <w:r>
              <w:t>10/09/2023</w:t>
            </w:r>
          </w:p>
        </w:tc>
        <w:tc>
          <w:tcPr>
            <w:tcW w:w="565" w:type="dxa"/>
            <w:textDirection w:val="btLr"/>
          </w:tcPr>
          <w:p>
            <w:pPr>
              <w:ind w:left="113" w:right="113"/>
              <w:jc w:val="center"/>
            </w:pPr>
            <w:r>
              <w:t>17/09/2023</w:t>
            </w:r>
          </w:p>
        </w:tc>
        <w:tc>
          <w:tcPr>
            <w:tcW w:w="567" w:type="dxa"/>
            <w:textDirection w:val="btLr"/>
          </w:tcPr>
          <w:p>
            <w:pPr>
              <w:jc w:val="center"/>
            </w:pPr>
            <w:r>
              <w:t>24/09/2023</w:t>
            </w:r>
          </w:p>
        </w:tc>
        <w:tc>
          <w:tcPr>
            <w:tcW w:w="567" w:type="dxa"/>
            <w:textDirection w:val="btLr"/>
          </w:tcPr>
          <w:p>
            <w:pPr>
              <w:jc w:val="center"/>
            </w:pPr>
            <w:r>
              <w:t>24/09/2023</w:t>
            </w:r>
          </w:p>
        </w:tc>
        <w:tc>
          <w:tcPr>
            <w:tcW w:w="567" w:type="dxa"/>
            <w:textDirection w:val="btLr"/>
          </w:tcPr>
          <w:p>
            <w:pPr>
              <w:jc w:val="center"/>
            </w:pPr>
            <w:r>
              <w:t>30/09/2023</w:t>
            </w:r>
          </w:p>
        </w:tc>
        <w:tc>
          <w:tcPr>
            <w:tcW w:w="480" w:type="dxa"/>
            <w:textDirection w:val="btLr"/>
          </w:tcPr>
          <w:p>
            <w:pPr>
              <w:jc w:val="center"/>
            </w:pPr>
            <w:r>
              <w:t>7/10/2023</w:t>
            </w:r>
          </w:p>
        </w:tc>
        <w:tc>
          <w:tcPr>
            <w:tcW w:w="480" w:type="dxa"/>
            <w:textDirection w:val="btLr"/>
          </w:tcPr>
          <w:p>
            <w:pPr>
              <w:jc w:val="center"/>
            </w:pPr>
            <w:r>
              <w:t>14/10/2023</w:t>
            </w:r>
          </w:p>
        </w:tc>
        <w:tc>
          <w:tcPr>
            <w:tcW w:w="480" w:type="dxa"/>
            <w:textDirection w:val="btLr"/>
          </w:tcPr>
          <w:p>
            <w:pPr>
              <w:jc w:val="center"/>
            </w:pPr>
            <w:r>
              <w:t>21/10/2023</w:t>
            </w:r>
          </w:p>
        </w:tc>
        <w:tc>
          <w:tcPr>
            <w:tcW w:w="516" w:type="dxa"/>
            <w:textDirection w:val="btLr"/>
          </w:tcPr>
          <w:p>
            <w:pPr>
              <w:jc w:val="center"/>
            </w:pPr>
            <w:r>
              <w:t>28/10/2023</w:t>
            </w:r>
          </w:p>
        </w:tc>
        <w:tc>
          <w:tcPr>
            <w:tcW w:w="513" w:type="dxa"/>
            <w:textDirection w:val="btLr"/>
            <w:vAlign w:val="top"/>
          </w:tcPr>
          <w:p>
            <w:pPr>
              <w:jc w:val="center"/>
            </w:pPr>
            <w:r>
              <w:rPr>
                <w:rFonts w:hint="default"/>
                <w:lang w:val="en-US"/>
              </w:rPr>
              <w:t>4</w:t>
            </w:r>
            <w:r>
              <w:t>/1</w:t>
            </w:r>
            <w:r>
              <w:rPr>
                <w:rFonts w:hint="default"/>
                <w:lang w:val="en-US"/>
              </w:rPr>
              <w:t>1</w:t>
            </w:r>
            <w:r>
              <w:t>/2023</w:t>
            </w: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Week</w:t>
            </w:r>
          </w:p>
        </w:tc>
        <w:tc>
          <w:tcPr>
            <w:tcW w:w="594" w:type="dxa"/>
          </w:tcPr>
          <w:p>
            <w:pPr>
              <w:jc w:val="center"/>
            </w:pPr>
            <w:r>
              <w:t>01</w:t>
            </w:r>
          </w:p>
        </w:tc>
        <w:tc>
          <w:tcPr>
            <w:tcW w:w="569" w:type="dxa"/>
          </w:tcPr>
          <w:p>
            <w:pPr>
              <w:jc w:val="center"/>
            </w:pPr>
            <w:r>
              <w:t>02</w:t>
            </w:r>
          </w:p>
        </w:tc>
        <w:tc>
          <w:tcPr>
            <w:tcW w:w="565" w:type="dxa"/>
          </w:tcPr>
          <w:p>
            <w:pPr>
              <w:jc w:val="center"/>
            </w:pPr>
            <w:r>
              <w:t>03</w:t>
            </w:r>
          </w:p>
        </w:tc>
        <w:tc>
          <w:tcPr>
            <w:tcW w:w="567" w:type="dxa"/>
          </w:tcPr>
          <w:p>
            <w:pPr>
              <w:jc w:val="center"/>
            </w:pPr>
            <w:r>
              <w:t>04</w:t>
            </w:r>
          </w:p>
        </w:tc>
        <w:tc>
          <w:tcPr>
            <w:tcW w:w="567" w:type="dxa"/>
          </w:tcPr>
          <w:p>
            <w:pPr>
              <w:jc w:val="center"/>
            </w:pPr>
            <w:r>
              <w:t>05</w:t>
            </w:r>
          </w:p>
        </w:tc>
        <w:tc>
          <w:tcPr>
            <w:tcW w:w="567" w:type="dxa"/>
          </w:tcPr>
          <w:p>
            <w:pPr>
              <w:jc w:val="center"/>
            </w:pPr>
            <w:r>
              <w:t>06</w:t>
            </w:r>
          </w:p>
        </w:tc>
        <w:tc>
          <w:tcPr>
            <w:tcW w:w="480" w:type="dxa"/>
          </w:tcPr>
          <w:p>
            <w:pPr>
              <w:jc w:val="center"/>
            </w:pPr>
            <w:r>
              <w:t>07</w:t>
            </w:r>
          </w:p>
        </w:tc>
        <w:tc>
          <w:tcPr>
            <w:tcW w:w="480" w:type="dxa"/>
          </w:tcPr>
          <w:p>
            <w:pPr>
              <w:jc w:val="center"/>
            </w:pPr>
            <w:r>
              <w:t>08</w:t>
            </w:r>
          </w:p>
        </w:tc>
        <w:tc>
          <w:tcPr>
            <w:tcW w:w="480" w:type="dxa"/>
          </w:tcPr>
          <w:p>
            <w:pPr>
              <w:jc w:val="center"/>
            </w:pPr>
            <w:r>
              <w:t>09</w:t>
            </w:r>
          </w:p>
        </w:tc>
        <w:tc>
          <w:tcPr>
            <w:tcW w:w="516" w:type="dxa"/>
          </w:tcPr>
          <w:p>
            <w:pPr>
              <w:jc w:val="center"/>
              <w:rPr>
                <w:rFonts w:hint="default"/>
                <w:lang w:val="en-US"/>
              </w:rPr>
            </w:pPr>
            <w:r>
              <w:rPr>
                <w:rFonts w:hint="default"/>
                <w:lang w:val="en-US"/>
              </w:rPr>
              <w:t>10</w:t>
            </w:r>
          </w:p>
        </w:tc>
        <w:tc>
          <w:tcPr>
            <w:tcW w:w="513" w:type="dxa"/>
            <w:vAlign w:val="top"/>
          </w:tcPr>
          <w:p>
            <w:pPr>
              <w:jc w:val="center"/>
              <w:rPr>
                <w:rFonts w:hint="default"/>
                <w:lang w:val="en-US"/>
              </w:rPr>
            </w:pPr>
            <w:r>
              <w:rPr>
                <w:rFonts w:hint="default"/>
                <w:lang w:val="en-US"/>
              </w:rPr>
              <w:t>11</w:t>
            </w:r>
          </w:p>
        </w:tc>
        <w:tc>
          <w:tcPr>
            <w:tcW w:w="341" w:type="dxa"/>
          </w:tcPr>
          <w:p>
            <w:pPr>
              <w:jc w:val="center"/>
            </w:pPr>
          </w:p>
        </w:tc>
        <w:tc>
          <w:tcPr>
            <w:tcW w:w="567" w:type="dxa"/>
            <w:gridSpan w:val="2"/>
          </w:tcPr>
          <w:p>
            <w:pPr>
              <w:jc w:val="center"/>
            </w:pPr>
          </w:p>
        </w:tc>
        <w:tc>
          <w:tcPr>
            <w:tcW w:w="425" w:type="dxa"/>
            <w:gridSpan w:val="2"/>
          </w:tcPr>
          <w:p>
            <w:pPr>
              <w:jc w:val="center"/>
            </w:pPr>
          </w:p>
        </w:tc>
        <w:tc>
          <w:tcPr>
            <w:tcW w:w="566" w:type="dxa"/>
            <w:gridSpan w:val="2"/>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Note</w:t>
            </w: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928" w:type="dxa"/>
            <w:gridSpan w:val="9"/>
          </w:tcPr>
          <w:p>
            <w:r>
              <w:rPr>
                <w:color w:val="D0CECE" w:themeColor="background2" w:themeShade="E6"/>
              </w:rPr>
              <w:t>o</w:t>
            </w:r>
            <w:r>
              <w:t xml:space="preserve"> – Begin </w:t>
            </w:r>
          </w:p>
          <w:p>
            <w:r>
              <w:rPr>
                <w:color w:val="AFABAB" w:themeColor="background2" w:themeShade="BF"/>
              </w:rPr>
              <w:t>o</w:t>
            </w:r>
            <w:r>
              <w:t xml:space="preserve"> – Complete 50% </w:t>
            </w:r>
          </w:p>
          <w:p>
            <w:r>
              <w:t>o – Complete 100%</w:t>
            </w:r>
          </w:p>
        </w:tc>
      </w:tr>
    </w:tbl>
    <w:p/>
    <w:p>
      <w:pPr>
        <w:pStyle w:val="2"/>
        <w:numPr>
          <w:ilvl w:val="0"/>
          <w:numId w:val="1"/>
        </w:numPr>
        <w:shd w:val="clear" w:color="auto" w:fill="1B387C"/>
        <w:ind w:left="1440" w:hanging="360"/>
        <w:textAlignment w:val="baseline"/>
        <w:rPr>
          <w:rFonts w:cs="Times New Roman"/>
          <w:b w:val="0"/>
          <w:color w:val="FFFFFF"/>
          <w:sz w:val="32"/>
          <w:szCs w:val="32"/>
          <w:u w:val="single"/>
        </w:rPr>
      </w:pPr>
      <w:r>
        <w:rPr>
          <w:rFonts w:hint="default" w:cs="Times New Roman"/>
          <w:b w:val="0"/>
          <w:color w:val="FFFFFF"/>
          <w:sz w:val="32"/>
          <w:szCs w:val="32"/>
          <w:u w:val="single"/>
          <w:lang w:val="en-US"/>
        </w:rPr>
        <w:t>So sánh giữa 2 thuật toán đánh nhãn và thuật toán Ford-Fulkerson:</w:t>
      </w:r>
    </w:p>
    <w:p>
      <w:pPr>
        <w:rPr>
          <w:rFonts w:hint="default"/>
          <w:sz w:val="28"/>
          <w:szCs w:val="28"/>
        </w:rPr>
      </w:pPr>
      <w:r>
        <w:rPr>
          <w:rFonts w:hint="default"/>
          <w:sz w:val="28"/>
          <w:szCs w:val="28"/>
        </w:rPr>
        <w:t xml:space="preserve">Thuật toán </w:t>
      </w:r>
      <w:r>
        <w:rPr>
          <w:rFonts w:hint="default"/>
          <w:sz w:val="28"/>
          <w:szCs w:val="28"/>
          <w:lang w:val="en-US"/>
        </w:rPr>
        <w:t>đánh nhãn</w:t>
      </w:r>
      <w:r>
        <w:rPr>
          <w:rFonts w:hint="default"/>
          <w:sz w:val="28"/>
          <w:szCs w:val="28"/>
        </w:rPr>
        <w:t xml:space="preserve"> có một số tương đồng với thuật toán Ford-Fulkerson, </w:t>
      </w:r>
      <w:r>
        <w:rPr>
          <w:rFonts w:hint="default"/>
          <w:sz w:val="28"/>
          <w:szCs w:val="28"/>
          <w:lang w:val="en-US"/>
        </w:rPr>
        <w:t>t</w:t>
      </w:r>
      <w:r>
        <w:rPr>
          <w:rFonts w:hint="default"/>
          <w:sz w:val="28"/>
          <w:szCs w:val="28"/>
        </w:rPr>
        <w:t>uy nhiên, nó không hoàn toàn giống với Ford-Fulkerson và có một số khác biệt quan trọng.</w:t>
      </w:r>
    </w:p>
    <w:p>
      <w:pPr>
        <w:rPr>
          <w:rFonts w:hint="default"/>
          <w:sz w:val="28"/>
          <w:szCs w:val="28"/>
        </w:rPr>
      </w:pPr>
    </w:p>
    <w:p>
      <w:pPr>
        <w:rPr>
          <w:rFonts w:hint="default"/>
          <w:sz w:val="28"/>
          <w:szCs w:val="28"/>
        </w:rPr>
      </w:pPr>
      <w:r>
        <w:rPr>
          <w:rFonts w:hint="default"/>
          <w:sz w:val="28"/>
          <w:szCs w:val="28"/>
        </w:rPr>
        <w:t>Có một số điểm chính khác biệt giữa thuật toán này và Ford-Fulkerson:</w:t>
      </w:r>
    </w:p>
    <w:p>
      <w:pPr>
        <w:rPr>
          <w:rFonts w:hint="default"/>
          <w:sz w:val="28"/>
          <w:szCs w:val="28"/>
        </w:rPr>
      </w:pPr>
    </w:p>
    <w:p>
      <w:pPr>
        <w:numPr>
          <w:ilvl w:val="0"/>
          <w:numId w:val="2"/>
        </w:numPr>
        <w:ind w:left="420" w:leftChars="0" w:hanging="420" w:firstLineChars="0"/>
        <w:rPr>
          <w:rFonts w:hint="default"/>
          <w:sz w:val="28"/>
          <w:szCs w:val="28"/>
        </w:rPr>
      </w:pPr>
      <w:r>
        <w:rPr>
          <w:rFonts w:hint="default"/>
          <w:sz w:val="28"/>
          <w:szCs w:val="28"/>
        </w:rPr>
        <w:t>Duyệt đỉnh chưa được duyệt với chỉ số i bé nhất: Trong Ford-Fulkerson, không có yêu cầu về việc duyệt đỉnh chưa được duyệt với chỉ số i bé nhất. Ford-Fulkerson thường duyệt theo đỉnh nào có cạnh trong mạng luồng còn khả dụng để tăng cường dòng chảy.</w:t>
      </w:r>
    </w:p>
    <w:p>
      <w:pPr>
        <w:rPr>
          <w:rFonts w:hint="default"/>
          <w:sz w:val="28"/>
          <w:szCs w:val="28"/>
        </w:rPr>
      </w:pPr>
    </w:p>
    <w:p>
      <w:pPr>
        <w:numPr>
          <w:ilvl w:val="0"/>
          <w:numId w:val="2"/>
        </w:numPr>
        <w:ind w:left="420" w:leftChars="0" w:hanging="420" w:firstLineChars="0"/>
        <w:rPr>
          <w:rFonts w:hint="default"/>
          <w:sz w:val="28"/>
          <w:szCs w:val="28"/>
        </w:rPr>
      </w:pPr>
      <w:r>
        <w:rPr>
          <w:rFonts w:hint="default"/>
          <w:sz w:val="28"/>
          <w:szCs w:val="28"/>
        </w:rPr>
        <w:t>Sử dụng nhãn (α, Δ) cho đỉnh và các cạnh: Ford-Fulkerson thường sử dụng giá trị còn dư trên cạnh để quyết định việc tăng cường dòng chảy, trong khi thuật toán bạn mô tả sử dụng các nhãn (α, Δ) để quản lý việc duyệt và điều kiện dừng.</w:t>
      </w:r>
    </w:p>
    <w:p>
      <w:pPr>
        <w:rPr>
          <w:rFonts w:hint="default"/>
          <w:sz w:val="28"/>
          <w:szCs w:val="28"/>
        </w:rPr>
      </w:pPr>
    </w:p>
    <w:p>
      <w:pPr>
        <w:numPr>
          <w:ilvl w:val="0"/>
          <w:numId w:val="2"/>
        </w:numPr>
        <w:ind w:left="420" w:leftChars="0" w:hanging="420" w:firstLineChars="0"/>
        <w:rPr>
          <w:rFonts w:hint="default"/>
          <w:sz w:val="28"/>
          <w:szCs w:val="28"/>
        </w:rPr>
      </w:pPr>
      <w:r>
        <w:rPr>
          <w:rFonts w:hint="default"/>
          <w:sz w:val="28"/>
          <w:szCs w:val="28"/>
        </w:rPr>
        <w:t>Gán nhãn dựa trên điểm α, Δ và dòng chảy trên cạnh: Thuật toán này gán nhãn cho các đỉnh và cạnh dựa trên các điểm α và Δ, cùng với thông tin về dòng chảy trên các cạnh. Ford-Fulkerson thường tập trung vào cộng hoặc giảm dòng chảy trên các cạnh dựa trên giá trị còn dư.</w:t>
      </w:r>
    </w:p>
    <w:p>
      <w:pPr>
        <w:numPr>
          <w:ilvl w:val="0"/>
          <w:numId w:val="2"/>
        </w:numPr>
        <w:ind w:left="420" w:leftChars="0" w:hanging="420" w:firstLine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rPr>
        <w:t xml:space="preserve">Độ phức tạp: Cả hai thuật toán có độ phức tạp về thời gian không xác định trước do phụ thuộc vào số lần lặp và kích thước mạng. </w:t>
      </w:r>
    </w:p>
    <w:p>
      <w:pPr>
        <w:numPr>
          <w:ilvl w:val="0"/>
          <w:numId w:val="2"/>
        </w:numPr>
        <w:ind w:left="420" w:leftChars="0" w:hanging="420" w:firstLine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rPr>
        <w:t xml:space="preserve">Đường tăng luồng: Cả hai thuật toán đều tìm đường tăng luồng để tăng luồng trong mạng. </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eastAsia="Arial" w:cs="Times New Roman"/>
          <w:i w:val="0"/>
          <w:iCs w:val="0"/>
          <w:caps w:val="0"/>
          <w:color w:val="202124"/>
          <w:spacing w:val="0"/>
          <w:sz w:val="28"/>
          <w:szCs w:val="28"/>
          <w:shd w:val="clear" w:fill="FFFFFF"/>
        </w:rPr>
        <w:t>Tính hiệu quả: Thuật toán Ford-Fulkerson có thể bị kẹt ở một vòng lặp vô hạn nếu không áp dụng một chiến lược lựa chọn cụ thể cho đường tăng luồng. Trong khi đó, thuật toán đánh nhãn sử dụng nhãn để tối ưu hóa việc tìm đường tăng luồng và tránh việc kẹt ở vòng lặp vô hạn.</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eastAsia="Arial" w:cs="Times New Roman"/>
          <w:i w:val="0"/>
          <w:iCs w:val="0"/>
          <w:caps w:val="0"/>
          <w:color w:val="202124"/>
          <w:spacing w:val="0"/>
          <w:sz w:val="28"/>
          <w:szCs w:val="28"/>
          <w:shd w:val="clear" w:fill="FFFFFF"/>
        </w:rPr>
        <w:t>Lát cắt cực tiểu: Cả hai thuật toán đều xây dựng lát cắt cực tiểu của mạng sau khi tìm được luồng cực đại.</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eastAsia="Arial" w:cs="Times New Roman"/>
          <w:i w:val="0"/>
          <w:iCs w:val="0"/>
          <w:caps w:val="0"/>
          <w:color w:val="202124"/>
          <w:spacing w:val="0"/>
          <w:sz w:val="28"/>
          <w:szCs w:val="28"/>
          <w:shd w:val="clear" w:fill="FFFFFF"/>
        </w:rPr>
        <w:t xml:space="preserve"> Nhược điểm của thuật toán Ford-Fulkerson là cần một chiến lược lựa chọn đường tăng luồng cụ thể để đảm bảo kết thúc trong thời gian hợp lý. Thuật toán đánh nhãn giải quyết vấn đề này bằng cách sử dụng nhãn để tối ưu hóa việc tìm đường tăng luồng, giúp tránh việc kẹt ở vòng lặp vô hạn.</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Cách quản lý đỉnh và cạnh: Trong thuật toán đánh nhãn, bạn sử dụng các nhãn (α, Δ) để quản lý các đỉnh và cạnh, trong khi trong Ford-Fulkerson, thường sử dụng giá trị còn dư trên các cạnh để tăng cường dòng chảy.</w:t>
      </w:r>
    </w:p>
    <w:p>
      <w:pPr>
        <w:numPr>
          <w:numId w:val="0"/>
        </w:numPr>
        <w:ind w:leftChars="0"/>
        <w:rPr>
          <w:rFonts w:hint="default" w:ascii="Times New Roman" w:hAnsi="Times New Roman"/>
          <w:sz w:val="28"/>
          <w:szCs w:val="28"/>
        </w:rPr>
      </w:pPr>
      <w:bookmarkStart w:id="3" w:name="_GoBack"/>
      <w:bookmarkEnd w:id="3"/>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Thứ tự duyệt đỉnh: Thuật toán đánh nhãn sử dụng một cách tiếp cận đặc biệt, yêu cầu duyệt đỉnh chưa được duyệt với chỉ số i bé nhất. Trong khi đó, Ford-Fulkerson tập trung vào duyệt các đỉnh mà có cạnh còn dư trong mạng luồng.</w:t>
      </w:r>
    </w:p>
    <w:p>
      <w:pPr>
        <w:numPr>
          <w:numId w:val="0"/>
        </w:numPr>
        <w:ind w:leftChars="0"/>
        <w:rPr>
          <w:rFonts w:hint="default" w:ascii="Times New Roman" w:hAnsi="Times New Roman"/>
          <w:sz w:val="28"/>
          <w:szCs w:val="28"/>
        </w:rPr>
      </w:pP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Phương pháp xác định đường đi tăng cường: Edmonds-Karp, một biến thể của Ford-Fulkerson, sử dụng tìm đường đi ngắn nhất bằng thuật toán BFS để tăng cường dòng chảy. Trong khi đó, thuật toán đánh nhãn sử dụng nhãn (α, Δ) để xác định đường đi tăng cường.</w:t>
      </w:r>
    </w:p>
    <w:p>
      <w:pPr>
        <w:numPr>
          <w:numId w:val="0"/>
        </w:numPr>
        <w:ind w:leftChars="0"/>
        <w:rPr>
          <w:rFonts w:hint="default" w:ascii="Times New Roman" w:hAnsi="Times New Roman"/>
          <w:sz w:val="28"/>
          <w:szCs w:val="28"/>
        </w:rPr>
      </w:pP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Hiệu suất thời gian: Thuật toán Edmonds-Karp có thời gian chạy tối ưu hơn trong nhiều trường hợp do việc sử dụng BFS để tìm đường đi tăng cường. Thuật toán đánh nhãn có thể có thời gian chạy tốt hơn trong một số trường hợp cụ thể, nhưng nó không thường được ưa chuộng như Edmonds-Karp.</w:t>
      </w:r>
    </w:p>
    <w:p>
      <w:pPr>
        <w:numPr>
          <w:numId w:val="0"/>
        </w:numPr>
        <w:ind w:leftChars="0"/>
        <w:rPr>
          <w:rFonts w:hint="default" w:ascii="Times New Roman" w:hAnsi="Times New Roman"/>
          <w:sz w:val="28"/>
          <w:szCs w:val="28"/>
        </w:rPr>
      </w:pP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sz w:val="28"/>
          <w:szCs w:val="28"/>
        </w:rPr>
        <w:t>Khả năng tránh kẹt mạng: Edmonds-Karp sử dụng BFS để tìm đường đi tăng cường, điều này giúp tránh kẹt mạng. Thuật toán đánh nhãn có khả năng gây kẹt mạng nếu không được thực hiện cẩn thận.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C93CE8"/>
    <w:multiLevelType w:val="singleLevel"/>
    <w:tmpl w:val="E9C93C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48104E"/>
    <w:multiLevelType w:val="multilevel"/>
    <w:tmpl w:val="0348104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B69D0"/>
    <w:rsid w:val="728B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6"/>
      <w:szCs w:val="26"/>
      <w:lang w:val="en-US" w:eastAsia="zh-CN" w:bidi="ar-SA"/>
    </w:rPr>
  </w:style>
  <w:style w:type="paragraph" w:styleId="2">
    <w:name w:val="heading 2"/>
    <w:basedOn w:val="1"/>
    <w:next w:val="1"/>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1"/>
    <w:rPr>
      <w:rFonts w:ascii="Times New Roman" w:hAnsi="Times New Roman" w:eastAsia="SimSun" w:cs="Times New Roman"/>
      <w:sz w:val="26"/>
      <w:szCs w:val="26"/>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2023-11-04T08:15:00Z</dcterms:created>
  <dc:creator>Asus Tuf</dc:creator>
  <cp:lastModifiedBy>Asus Tuf</cp:lastModifiedBy>
  <dcterms:modified xsi:type="dcterms:W3CDTF">2023-11-04T08:32:34Z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DC0DE0FCD47049CCB41F4196562B7A94_11</vt:lpwstr>
  </property>
</Properties>
</file>