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B2E83"/>
          <w:sz w:val="28"/>
          <w:szCs w:val="28"/>
        </w:rPr>
        <w:t xml:space="preserve">ARCHITECTURE &amp; DESIGN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High-Level Design
Document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ARCH-[PROJECT]-HLD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ARCH-[PROJECT]-HLD-[DATE]-01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ARCH-[PROJECT]-HLD-[DATE]-01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High-Level Design Document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Engineering]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SRS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BA-[PROJECT]-SRS-[DATE]-01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SysRS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BA-[PROJECT]-SYSRS-[DATE]-01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Development Team, DevOps, QA Team, Architecture Review Board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Architecture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Design Philosophy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[Describe the key architectural principles guiding this design. Examples: Clean Architecture, Domain-Driven Design, Event-Driven, CQRS, microservices vs. modular monolith, API-first, cloud-native. Explain why each was chosen.]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Architecture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&amp; 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2E83"/>
                <w:sz w:val="20"/>
                <w:szCs w:val="20"/>
              </w:rPr>
              <w:t xml:space="preserve">Architectural Style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Modular Monolith transitioning to Microservices in Phase 2]  Rationale: [Why]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2E83"/>
                <w:sz w:val="20"/>
                <w:szCs w:val="20"/>
              </w:rPr>
              <w:t xml:space="preserve">API Style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RESTful JSON API + gRPC for internal services]  Rationale: [Why]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2E83"/>
                <w:sz w:val="20"/>
                <w:szCs w:val="20"/>
              </w:rPr>
              <w:t xml:space="preserve">Database 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RDBMS primary (PostgreSQL) + Redis cache + OLAP read store]  Rationale: [Why]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2E8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Keycloak (user auth) + Azure Managed Identity (service auth)]  Rationale: [Why]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2E83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Containerized via Docker / Kubernetes on Azure AKS]  Rationale: [Why]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2E83"/>
                <w:sz w:val="20"/>
                <w:szCs w:val="20"/>
              </w:rPr>
              <w:t xml:space="preserve">Data Access 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CQRS — Command via ORM, Query via raw SQL / Dapper]  Rationale: [Why]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2E83"/>
                <w:sz w:val="20"/>
                <w:szCs w:val="20"/>
              </w:rPr>
              <w:t xml:space="preserve">Async Communication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Azure Service Bus for event-driven workflows]  Rationale: [Why]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System Components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 NOTE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Insert context/component diagram here (as an image or Mermaid diagram exported to image). The diagram should show all major components and their relationships.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[API Gateway]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[Route external requests, handle auth tokens, rate limiting, SSL termination.]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[Web / Mobile Client]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[React SPA / Mobile app. Communicates via REST API only. No direct DB access.]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[Application Service]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[Core business logic orchestration. Implements use cases. Contains no infrastructure concerns.]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[Domain Layer]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[Entities, value objects, domain events, business rules. No external dependencies.]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[Infrastructure Layer]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[DB access, external API clients, message queue adapters, file storage.]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[Background Workers]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[Async job processing: scheduled tasks, event handlers, long-running operations.]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[Notification Service]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[Email, SMS, push notification dispatch. Isolated from core domain.]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[Audit Service]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[Captures all system mutations. Write-only. Immutable log store.]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Data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Database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[Naming convention: refer to ARCH-[PROJECT]-DB-STD or QMS-[PROJECT]-STD for naming rules (e.g., snake_case_plural for tables).]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[Normalization target: 3NF for OLTP. Denormalized read models for OLAP/reporting.]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[Multi-tenancy approach: e.g., shared schema with tenant_id column / separate schemas / separate databases.]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[PII/SPII handling: encrypted at rest per QMS-[PROJECT]-STD-04. Fields classified per HRDP-COMP-01 or equivalent.]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Primary Data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4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[Entity 1]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[table_name]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[OLTP / Cache / OLAP]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[Key attributes, relationships, volume estimate]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[Entity 2]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[table_name]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[OLTP / Cache / OLAP]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[Key attributes, relationships, volume estimate]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[Entity 3]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[table_name]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[OLTP / Cache / OLAP]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[Key attributes, relationships, volume estimate]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[Entity 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[table_name]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[OLTP / Cache / OLAP]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[Key attributes, relationships, volume estimate]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[Entity 5]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[table_name]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[OLTP / Cache / OLAP]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[Key attributes, relationships, volume estimate]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[Entity 6]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[table_name]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[OLTP / Cache / OLAP]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[Key attributes, relationships, volume estimate]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 NOTE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full database schema is documented in ARCH-[PROJECT]-DB-SCHEMA. The Entity-Relationship Diagram is in ARCH-[PROJECT]-ERD. This section provides architectural context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Security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Authentication &amp; Authorization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[Describe the authentication flow: how users authenticate, how tokens are issued, validated, and refreshed. Reference GRC-[PROJECT]-SEC and QMS-[PROJECT]-STD-02 (RBAC standard).]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Security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Public 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 Gateway, Load Balancer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WAF, DDoS protection, TLS termination, rate limiting.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Application 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 services, background workers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 mTLS, service identity (Managed Identity), no direct internet access.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 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Databases, cache, blob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Private endpoints, firewall rules, encryption at rest, no public IP.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Management 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Admin tools, CI/CD runners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VPN-gated access, MFA required, privileged access workstations.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Integration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External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&amp; 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[System 1]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Inbound / Outbound / Bidirectional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REST / SOAP / File / Webhook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[What data, in what direction, how often, authentication method]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[System 2]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Inbound / Outbound / Bidirectional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REST / SOAP / File / Webhook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[What data, in what direction, how often, authentication method]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[System 3]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Inbound / Outbound / Bidirectional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REST / SOAP / File / Webhook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[What data, in what direction, how often, authentication method]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Deployment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/ Promotion Gate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2E83"/>
                <w:sz w:val="20"/>
                <w:szCs w:val="20"/>
              </w:rPr>
              <w:t xml:space="preserve">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Active development. Unstable.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Developer + automated tests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2E83"/>
                <w:sz w:val="20"/>
                <w:szCs w:val="20"/>
              </w:rPr>
              <w:t xml:space="preserve">TEST/QA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Functional and regression testing.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sign-off required to promote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2E83"/>
                <w:sz w:val="20"/>
                <w:szCs w:val="20"/>
              </w:rPr>
              <w:t xml:space="preserve">STAGING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Pre-production. UAT.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Production-mirror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+ Product Owner sign-off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2E8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Live system.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Change Management Board approval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Architecture 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 NOTE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Major decisions are documented as Architecture Decision Records (ADR-[PROJECT]-[TOPIC]-[DATE]-001). This section summarizes ADRs relevant to this HLD.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 Reference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ADR-[PROJECT]-[TOPIC]-[DATE]-001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[Decision summary — one sentence]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this decision was made over alternatives]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ADR-[PROJECT]-[TOPIC]-[DATE]-002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[Decision summary — one sentence]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this decision was made over alternatives]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ADR-[PROJECT]-[TOPIC]-[DATE]-003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[Decision summary — one sentence]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this decision was made over alternatives]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2E83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ARCH  |  High-Level Design Document  |  ARCH-[PROJECT]-HLD-[DATE]-01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2026-03-22T07:11:12.196Z</dcterms:created>
  <dcterms:modified xsi:type="dcterms:W3CDTF">2026-03-22T07:11:12.196Z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