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rPr>
          <w:sz w:val="20"/>
          <w:szCs w:val="20"/>
        </w:rPr>
        <w:t xml:space="preserve"/>
      </w:r>
    </w:p>
    <w:p>
      <w:pPr>
        <w:spacing w:before="0" w:after="80"/>
        <w:jc w:val="center"/>
      </w:pPr>
      <w:r>
        <w:rPr>
          <w:rFonts w:ascii="Arial" w:cs="Arial" w:eastAsia="Arial" w:hAnsi="Arial"/>
          <w:b/>
          <w:bCs/>
          <w:color w:val="1A6B3C"/>
          <w:sz w:val="28"/>
          <w:szCs w:val="28"/>
        </w:rPr>
        <w:t xml:space="preserve">QUALITY ASSURANCE</w:t>
      </w:r>
    </w:p>
    <w:p>
      <w:pPr>
        <w:spacing w:before="0" w:after="40"/>
        <w:jc w:val="center"/>
      </w:pPr>
      <w:r>
        <w:rPr>
          <w:rFonts w:ascii="Arial" w:cs="Arial" w:eastAsia="Arial" w:hAnsi="Arial"/>
          <w:b/>
          <w:bCs/>
          <w:color w:val="1B2A4A"/>
          <w:sz w:val="64"/>
          <w:szCs w:val="64"/>
        </w:rPr>
        <w:t xml:space="preserve">Risk Analysis
Register</w:t>
      </w:r>
    </w:p>
    <w:p>
      <w:pPr>
        <w:spacing w:before="0" w:after="280"/>
        <w:jc w:val="center"/>
      </w:pPr>
      <w:r>
        <w:rPr>
          <w:rFonts w:ascii="Arial" w:cs="Arial" w:eastAsia="Arial" w:hAnsi="Arial"/>
          <w:color w:val="C8952A"/>
          <w:sz w:val="28"/>
          <w:szCs w:val="28"/>
        </w:rPr>
        <w:t xml:space="preserve">QA-[PROJECT]-RISK</w:t>
      </w:r>
    </w:p>
    <w:p>
      <w:pPr>
        <w:spacing w:before="0" w:after="60"/>
        <w:jc w:val="center"/>
      </w:pPr>
      <w:r>
        <w:rPr>
          <w:rFonts w:ascii="Arial" w:cs="Arial" w:eastAsia="Arial" w:hAnsi="Arial"/>
          <w:color w:val="CCCCCC"/>
          <w:sz w:val="24"/>
          <w:szCs w:val="24"/>
        </w:rPr>
        <w:t xml:space="preserv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Document ID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QA-[PROJECT]-RISK-[DATE]-01</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Version</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1.0</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Status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DRAFT</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Project</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Effective Date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Next Review</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bl>
    <w:p>
      <w:pPr>
        <w:spacing w:before="60" w:after="0"/>
      </w:pPr>
      <w:r>
        <w:rPr>
          <w:sz w:val="20"/>
          <w:szCs w:val="20"/>
        </w:rPr>
        <w:t xml:space="preserve"/>
      </w:r>
    </w:p>
    <w:p>
      <w:pPr>
        <w:spacing w:before="0" w:after="60"/>
        <w:jc w:val="center"/>
      </w:pPr>
      <w:r>
        <w:rPr>
          <w:rFonts w:ascii="Arial" w:cs="Arial" w:eastAsia="Arial" w:hAnsi="Arial"/>
          <w:color w:val="CCCCCC"/>
          <w:sz w:val="24"/>
          <w:szCs w:val="24"/>
        </w:rPr>
        <w:t xml:space="preserve">─────────────────────────────────────────────</w:t>
      </w:r>
    </w:p>
    <w:p>
      <w:pPr>
        <w:jc w:val="center"/>
      </w:pPr>
      <w:r>
        <w:rPr>
          <w:rFonts w:ascii="Arial" w:cs="Arial" w:eastAsia="Arial" w:hAnsi="Arial"/>
          <w:color w:val="CCCCCC"/>
          <w:sz w:val="18"/>
          <w:szCs w:val="18"/>
        </w:rPr>
        <w:t xml:space="preserve">Universal Project Document Base  ·  Phase 2 — Template Library</w:t>
      </w:r>
    </w:p>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Document ID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QA-[PROJECT]-RISK-[DATE]-01</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Document Title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 NAME] — Risk Analysis Register</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Version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1.0</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APPROVED</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Classification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Internal</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Author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[Name, QA Director / QA Lead]</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Reviewed By</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[Name, Project Manager] — [YYYY-MM-DD]</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Approved By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[Name, QA Director] — [YYYY-MM-DD]</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Effective Date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Review Cadence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Monthly — this is a living document</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Next Review Date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Project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Responsible Owner</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[Name, QA Director] — accountable for keeping register current</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Applies To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 Manager, QA Director, Business Analyst Lead, Chief Architect</w:t>
            </w:r>
          </w:p>
        </w:tc>
      </w:tr>
    </w:tbl>
    <w:p>
      <w:pPr>
        <w:spacing w:before="0" w:after="0"/>
      </w:pPr>
      <w:r>
        <w:rPr>
          <w:rFonts w:ascii="Arial" w:cs="Arial" w:eastAsia="Arial" w:hAnsi="Arial"/>
          <w:sz w:val="20"/>
          <w:szCs w:val="20"/>
        </w:rPr>
        <w:t xml:space="preserve"/>
      </w:r>
    </w:p>
    <w:p>
      <w:pPr>
        <w:pStyle w:val="Heading2"/>
        <w:spacing w:before="280" w:after="120"/>
      </w:pPr>
      <w:r>
        <w:rPr>
          <w:rFonts w:ascii="Arial" w:cs="Arial" w:eastAsia="Arial" w:hAnsi="Arial"/>
          <w:b/>
          <w:bCs/>
          <w:color w:val="2E5FA3"/>
          <w:sz w:val="28"/>
          <w:szCs w:val="28"/>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500"/>
        <w:gridCol w:w="4060"/>
      </w:tblGrid>
      <w:tr>
        <w:tc>
          <w:tcPr>
            <w:tcW w:type="dxa" w:w="11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Version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Date (ISO 8601)</w:t>
            </w:r>
          </w:p>
        </w:tc>
        <w:tc>
          <w:tcPr>
            <w:tcW w:type="dxa" w:w="2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Author</w:t>
            </w:r>
          </w:p>
        </w:tc>
        <w:tc>
          <w:tcPr>
            <w:tcW w:type="dxa" w:w="40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Summary of Changes</w:t>
            </w:r>
          </w:p>
        </w:tc>
      </w:tr>
      <w:tr>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1.0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[Name, Role]</w:t>
            </w:r>
          </w:p>
        </w:tc>
        <w:tc>
          <w:tcPr>
            <w:tcW w:type="dxa" w:w="4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Initial approved version</w:t>
            </w:r>
          </w:p>
        </w:tc>
      </w:tr>
    </w:tbl>
    <w:p>
      <w:pPr>
        <w:spacing w:before="0" w:after="0"/>
      </w:pPr>
      <w:r>
        <w:rPr>
          <w:rFonts w:ascii="Arial" w:cs="Arial" w:eastAsia="Arial" w:hAnsi="Arial"/>
          <w:sz w:val="20"/>
          <w:szCs w:val="20"/>
        </w:rPr>
        <w:t xml:space="preserve"/>
      </w:r>
    </w:p>
    <w:p>
      <w:pPr>
        <w:pStyle w:val="Heading2"/>
        <w:spacing w:before="280" w:after="120"/>
      </w:pPr>
      <w:r>
        <w:rPr>
          <w:rFonts w:ascii="Arial" w:cs="Arial" w:eastAsia="Arial" w:hAnsi="Arial"/>
          <w:b/>
          <w:bCs/>
          <w:color w:val="2E5FA3"/>
          <w:sz w:val="28"/>
          <w:szCs w:val="28"/>
        </w:rPr>
        <w:t xml:space="preserve">1.2 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700"/>
        <w:gridCol w:w="1980"/>
      </w:tblGrid>
      <w:tr>
        <w:tc>
          <w:tcPr>
            <w:tcW w:type="dxa" w:w="234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Role</w:t>
            </w:r>
          </w:p>
        </w:tc>
        <w:tc>
          <w:tcPr>
            <w:tcW w:type="dxa" w:w="234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Full Name</w:t>
            </w:r>
          </w:p>
        </w:tc>
        <w:tc>
          <w:tcPr>
            <w:tcW w:type="dxa" w:w="27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Signature Reference</w:t>
            </w:r>
          </w:p>
        </w:tc>
        <w:tc>
          <w:tcPr>
            <w:tcW w:type="dxa" w:w="19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Date (ISO 8601)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 Director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[Full Name]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[Signed Electronically — ref #SIG-XXXXXX]</w:t>
            </w:r>
          </w:p>
        </w:tc>
        <w:tc>
          <w:tcPr>
            <w:tcW w:type="dxa" w:w="19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 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[Full Name]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[Signed Electronically — ref #SIG-XXXXXX]</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bl>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2. Risk Management Framework</w:t>
      </w:r>
    </w:p>
    <w:p>
      <w:pPr>
        <w:pStyle w:val="Heading2"/>
        <w:spacing w:before="280" w:after="120"/>
      </w:pPr>
      <w:r>
        <w:rPr>
          <w:rFonts w:ascii="Arial" w:cs="Arial" w:eastAsia="Arial" w:hAnsi="Arial"/>
          <w:b/>
          <w:bCs/>
          <w:color w:val="2E5FA3"/>
          <w:sz w:val="28"/>
          <w:szCs w:val="28"/>
        </w:rPr>
        <w:t xml:space="preserve">2.1 Risk Scoring Matrix</w:t>
      </w:r>
    </w:p>
    <w:p>
      <w:pPr>
        <w:spacing w:before="120" w:after="120"/>
        <w:jc w:val="left"/>
      </w:pPr>
      <w:r>
        <w:rPr>
          <w:rFonts w:ascii="Arial" w:cs="Arial" w:eastAsia="Arial" w:hAnsi="Arial"/>
          <w:color w:val="4A4A4A"/>
          <w:sz w:val="22"/>
          <w:szCs w:val="22"/>
        </w:rPr>
        <w:t xml:space="preserve">Risk Score = Likelihood (1–5) × Impact (1–5). Scores determine priority and escalation.</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2760"/>
      </w:tblGrid>
      <w:tr>
        <w:tc>
          <w:tcPr>
            <w:tcW w:type="dxa" w:w="1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Score Range</w:t>
            </w:r>
          </w:p>
        </w:tc>
        <w:tc>
          <w:tcPr>
            <w:tcW w:type="dxa" w:w="14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1–4</w:t>
            </w:r>
          </w:p>
        </w:tc>
        <w:tc>
          <w:tcPr>
            <w:tcW w:type="dxa" w:w="14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5–8</w:t>
            </w:r>
          </w:p>
        </w:tc>
        <w:tc>
          <w:tcPr>
            <w:tcW w:type="dxa" w:w="1400"/>
            <w:tcBorders>
              <w:top w:val="single" w:color="B85C00" w:sz="1"/>
              <w:left w:val="single" w:color="B85C00" w:sz="1"/>
              <w:bottom w:val="single" w:color="B85C00" w:sz="1"/>
              <w:right w:val="single" w:color="B85C00" w:sz="1"/>
            </w:tcBorders>
            <w:shd w:fill="B85C00"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9–15</w:t>
            </w:r>
          </w:p>
        </w:tc>
        <w:tc>
          <w:tcPr>
            <w:tcW w:type="dxa" w:w="1400"/>
            <w:tcBorders>
              <w:top w:val="single" w:color="A82B2B" w:sz="1"/>
              <w:left w:val="single" w:color="A82B2B" w:sz="1"/>
              <w:bottom w:val="single" w:color="A82B2B" w:sz="1"/>
              <w:right w:val="single" w:color="A82B2B" w:sz="1"/>
            </w:tcBorders>
            <w:shd w:fill="A82B2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16–25</w:t>
            </w:r>
          </w:p>
        </w:tc>
        <w:tc>
          <w:tcPr>
            <w:tcW w:type="dxa" w:w="27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Response</w:t>
            </w:r>
          </w:p>
        </w:tc>
      </w:tr>
      <w:tr>
        <w:tc>
          <w:tcPr>
            <w:tcW w:type="dxa" w:w="1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Level</w:t>
            </w:r>
          </w:p>
        </w:tc>
        <w:tc>
          <w:tcPr>
            <w:tcW w:type="dxa" w:w="140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b/>
                <w:bCs/>
                <w:color w:val="1A6B3C"/>
                <w:sz w:val="20"/>
                <w:szCs w:val="20"/>
              </w:rPr>
              <w:t xml:space="preserve">LOW</w:t>
            </w:r>
          </w:p>
        </w:tc>
        <w:tc>
          <w:tcPr>
            <w:tcW w:type="dxa" w:w="14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b/>
                <w:bCs/>
                <w:color w:val="C8952A"/>
                <w:sz w:val="20"/>
                <w:szCs w:val="20"/>
              </w:rPr>
              <w:t xml:space="preserve">MEDIUM</w:t>
            </w:r>
          </w:p>
        </w:tc>
        <w:tc>
          <w:tcPr>
            <w:tcW w:type="dxa" w:w="14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b/>
                <w:bCs/>
                <w:color w:val="B85C00"/>
                <w:sz w:val="20"/>
                <w:szCs w:val="20"/>
              </w:rPr>
              <w:t xml:space="preserve">HIGH</w:t>
            </w:r>
          </w:p>
        </w:tc>
        <w:tc>
          <w:tcPr>
            <w:tcW w:type="dxa" w:w="14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b/>
                <w:bCs/>
                <w:color w:val="A82B2B"/>
                <w:sz w:val="20"/>
                <w:szCs w:val="20"/>
              </w:rPr>
              <w:t xml:space="preserve">CRITICAL</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Monitor / Plan / Escalate immediately / Executive escalation</w:t>
            </w:r>
          </w:p>
        </w:tc>
      </w:tr>
    </w:tbl>
    <w:p>
      <w:pPr>
        <w:spacing w:before="0" w:after="0"/>
      </w:pPr>
      <w:r>
        <w:rPr>
          <w:rFonts w:ascii="Arial" w:cs="Arial" w:eastAsia="Arial" w:hAnsi="Arial"/>
          <w:sz w:val="20"/>
          <w:szCs w:val="20"/>
        </w:rPr>
        <w:t xml:space="preserve"/>
      </w:r>
    </w:p>
    <w:p>
      <w:pPr>
        <w:pStyle w:val="Heading2"/>
        <w:spacing w:before="280" w:after="120"/>
      </w:pPr>
      <w:r>
        <w:rPr>
          <w:rFonts w:ascii="Arial" w:cs="Arial" w:eastAsia="Arial" w:hAnsi="Arial"/>
          <w:b/>
          <w:bCs/>
          <w:color w:val="2E5FA3"/>
          <w:sz w:val="28"/>
          <w:szCs w:val="28"/>
        </w:rPr>
        <w:t xml:space="preserve">2.2 Likelihood &amp; Impact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000"/>
        <w:gridCol w:w="4060"/>
      </w:tblGrid>
      <w:tr>
        <w:tc>
          <w:tcPr>
            <w:tcW w:type="dxa" w:w="9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Score</w:t>
            </w:r>
          </w:p>
        </w:tc>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Likelihood Definition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Impact Label</w:t>
            </w:r>
          </w:p>
        </w:tc>
        <w:tc>
          <w:tcPr>
            <w:tcW w:type="dxa" w:w="40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Impact on Project</w:t>
            </w:r>
          </w:p>
        </w:tc>
      </w:tr>
      <w:tr>
        <w:tc>
          <w:tcPr>
            <w:tcW w:type="dxa" w:w="900"/>
            <w:tcBorders>
              <w:top w:val="single" w:color="CCCCCC" w:sz="1"/>
              <w:left w:val="single" w:color="CCCCCC" w:sz="1"/>
              <w:bottom w:val="single" w:color="CCCCCC" w:sz="1"/>
              <w:right w:val="single" w:color="CCCCC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Rare — Unlikely to occur (&lt;10%)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Negligible</w:t>
            </w:r>
          </w:p>
        </w:tc>
        <w:tc>
          <w:tcPr>
            <w:tcW w:type="dxa" w:w="4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Minor inconvenience. No schedule or cost impact.</w:t>
            </w:r>
          </w:p>
        </w:tc>
      </w:tr>
      <w:tr>
        <w:tc>
          <w:tcPr>
            <w:tcW w:type="dxa" w:w="900"/>
            <w:tcBorders>
              <w:top w:val="single" w:color="CCCCCC" w:sz="1"/>
              <w:left w:val="single" w:color="CCCCCC" w:sz="1"/>
              <w:bottom w:val="single" w:color="CCCCCC" w:sz="1"/>
              <w:right w:val="single" w:color="CCCCCC" w:sz="1"/>
            </w:tcBorders>
            <w:shd w:fill="A0EFE1"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Unlikely — May occur in some circumstances (10–30%)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Minor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&lt; 5% schedule delay or budget variance.</w:t>
            </w:r>
          </w:p>
        </w:tc>
      </w:tr>
      <w:tr>
        <w:tc>
          <w:tcPr>
            <w:tcW w:type="dxa" w:w="900"/>
            <w:tcBorders>
              <w:top w:val="single" w:color="CCCCCC" w:sz="1"/>
              <w:left w:val="single" w:color="CCCCCC" w:sz="1"/>
              <w:bottom w:val="single" w:color="CCCCCC" w:sz="1"/>
              <w:right w:val="single" w:color="CCCCCC" w:sz="1"/>
            </w:tcBorders>
            <w:shd w:fill="C8952A"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Possible — Might occur (30–60%)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Moderate</w:t>
            </w:r>
          </w:p>
        </w:tc>
        <w:tc>
          <w:tcPr>
            <w:tcW w:type="dxa" w:w="4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5–15% schedule or budget impact. Manageable.</w:t>
            </w:r>
          </w:p>
        </w:tc>
      </w:tr>
      <w:tr>
        <w:tc>
          <w:tcPr>
            <w:tcW w:type="dxa" w:w="900"/>
            <w:tcBorders>
              <w:top w:val="single" w:color="CCCCCC" w:sz="1"/>
              <w:left w:val="single" w:color="CCCCCC" w:sz="1"/>
              <w:bottom w:val="single" w:color="CCCCCC" w:sz="1"/>
              <w:right w:val="single" w:color="CCCCCC" w:sz="1"/>
            </w:tcBorders>
            <w:shd w:fill="B85C00"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Likely — Will probably occur (60–80%)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Major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15–30% schedule or budget impact. Escalation needed.</w:t>
            </w:r>
          </w:p>
        </w:tc>
      </w:tr>
      <w:tr>
        <w:tc>
          <w:tcPr>
            <w:tcW w:type="dxa" w:w="900"/>
            <w:tcBorders>
              <w:top w:val="single" w:color="CCCCCC" w:sz="1"/>
              <w:left w:val="single" w:color="CCCCCC" w:sz="1"/>
              <w:bottom w:val="single" w:color="CCCCCC" w:sz="1"/>
              <w:right w:val="single" w:color="CCCCCC" w:sz="1"/>
            </w:tcBorders>
            <w:shd w:fill="A82B2B"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Almost Certain — Expected to occur (&gt;80%)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Catastrophic</w:t>
            </w:r>
          </w:p>
        </w:tc>
        <w:tc>
          <w:tcPr>
            <w:tcW w:type="dxa" w:w="4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 failure, data loss, regulatory breach, &gt;30% impact.</w:t>
            </w:r>
          </w:p>
        </w:tc>
      </w:tr>
    </w:tbl>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3. Active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400"/>
        <w:gridCol w:w="700"/>
        <w:gridCol w:w="700"/>
        <w:gridCol w:w="700"/>
        <w:gridCol w:w="1200"/>
        <w:gridCol w:w="2760"/>
      </w:tblGrid>
      <w:tr>
        <w:tc>
          <w:tcPr>
            <w:tcW w:type="dxa" w:w="7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ID</w:t>
            </w:r>
          </w:p>
        </w:tc>
        <w:tc>
          <w:tcPr>
            <w:tcW w:type="dxa" w:w="1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Category</w:t>
            </w:r>
          </w:p>
        </w:tc>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Risk Description</w:t>
            </w:r>
          </w:p>
        </w:tc>
        <w:tc>
          <w:tcPr>
            <w:tcW w:type="dxa" w:w="7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L</w:t>
            </w:r>
          </w:p>
        </w:tc>
        <w:tc>
          <w:tcPr>
            <w:tcW w:type="dxa" w:w="7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I</w:t>
            </w:r>
          </w:p>
        </w:tc>
        <w:tc>
          <w:tcPr>
            <w:tcW w:type="dxa" w:w="7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Score</w:t>
            </w:r>
          </w:p>
        </w:tc>
        <w:tc>
          <w:tcPr>
            <w:tcW w:type="dxa" w:w="1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Owner</w:t>
            </w:r>
          </w:p>
        </w:tc>
        <w:tc>
          <w:tcPr>
            <w:tcW w:type="dxa" w:w="27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Mitigation Strategy</w:t>
            </w:r>
          </w:p>
        </w:tc>
      </w:tr>
      <w:tr>
        <w:tc>
          <w:tcPr>
            <w:tcW w:type="dxa" w:w="7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R-001</w:t>
            </w:r>
          </w:p>
        </w:tc>
        <w:tc>
          <w:tcPr>
            <w:tcW w:type="dxa" w:w="12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Technical</w:t>
            </w:r>
          </w:p>
        </w:tc>
        <w:tc>
          <w:tcPr>
            <w:tcW w:type="dxa" w:w="24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[Key dependency (e.g., third-party API) fails to meet integration requirements, causing schedule delay.]</w:t>
            </w:r>
          </w:p>
        </w:tc>
        <w:tc>
          <w:tcPr>
            <w:tcW w:type="dxa" w:w="7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color w:val="4A4A4A"/>
                <w:sz w:val="20"/>
                <w:szCs w:val="20"/>
              </w:rPr>
              <w:t xml:space="preserve">4</w:t>
            </w:r>
          </w:p>
        </w:tc>
        <w:tc>
          <w:tcPr>
            <w:tcW w:type="dxa" w:w="7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color w:val="4A4A4A"/>
                <w:sz w:val="20"/>
                <w:szCs w:val="20"/>
              </w:rPr>
              <w:t xml:space="preserve">4</w:t>
            </w:r>
          </w:p>
        </w:tc>
        <w:tc>
          <w:tcPr>
            <w:tcW w:type="dxa" w:w="7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b/>
                <w:bCs/>
                <w:color w:val="A82B2B"/>
                <w:sz w:val="18"/>
                <w:szCs w:val="18"/>
              </w:rPr>
              <w:t xml:space="preserve">16</w:t>
            </w:r>
          </w:p>
        </w:tc>
        <w:tc>
          <w:tcPr>
            <w:tcW w:type="dxa" w:w="12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Chief Architect</w:t>
            </w:r>
          </w:p>
        </w:tc>
        <w:tc>
          <w:tcPr>
            <w:tcW w:type="dxa" w:w="276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[Spike to validate integration early. Define fallback mock implementation. Establish SLA with vendor.]</w:t>
            </w:r>
          </w:p>
        </w:tc>
      </w:tr>
      <w:tr>
        <w:tc>
          <w:tcPr>
            <w:tcW w:type="dxa" w:w="7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R-002</w:t>
            </w:r>
          </w:p>
        </w:tc>
        <w:tc>
          <w:tcPr>
            <w:tcW w:type="dxa" w:w="12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Requirements</w:t>
            </w:r>
          </w:p>
        </w:tc>
        <w:tc>
          <w:tcPr>
            <w:tcW w:type="dxa" w:w="24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[Requirements are incomplete or change significantly mid-project, causing rework.]</w:t>
            </w:r>
          </w:p>
        </w:tc>
        <w:tc>
          <w:tcPr>
            <w:tcW w:type="dxa" w:w="7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center"/>
            </w:pPr>
            <w:r>
              <w:rPr>
                <w:rFonts w:ascii="Arial" w:cs="Arial" w:eastAsia="Arial" w:hAnsi="Arial"/>
                <w:color w:val="4A4A4A"/>
                <w:sz w:val="20"/>
                <w:szCs w:val="20"/>
              </w:rPr>
              <w:t xml:space="preserve">4</w:t>
            </w:r>
          </w:p>
        </w:tc>
        <w:tc>
          <w:tcPr>
            <w:tcW w:type="dxa" w:w="7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center"/>
            </w:pPr>
            <w:r>
              <w:rPr>
                <w:rFonts w:ascii="Arial" w:cs="Arial" w:eastAsia="Arial" w:hAnsi="Arial"/>
                <w:color w:val="4A4A4A"/>
                <w:sz w:val="20"/>
                <w:szCs w:val="20"/>
              </w:rPr>
              <w:t xml:space="preserve">3</w:t>
            </w:r>
          </w:p>
        </w:tc>
        <w:tc>
          <w:tcPr>
            <w:tcW w:type="dxa" w:w="7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center"/>
            </w:pPr>
            <w:r>
              <w:rPr>
                <w:rFonts w:ascii="Arial" w:cs="Arial" w:eastAsia="Arial" w:hAnsi="Arial"/>
                <w:b/>
                <w:bCs/>
                <w:color w:val="B85C00"/>
                <w:sz w:val="18"/>
                <w:szCs w:val="18"/>
              </w:rPr>
              <w:t xml:space="preserve">12</w:t>
            </w:r>
          </w:p>
        </w:tc>
        <w:tc>
          <w:tcPr>
            <w:tcW w:type="dxa" w:w="12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BA Lead</w:t>
            </w:r>
          </w:p>
        </w:tc>
        <w:tc>
          <w:tcPr>
            <w:tcW w:type="dxa" w:w="276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[Requirements baseline approved before sprint start. Change control process enforced. BA embedded in sprint ceremonies.]</w:t>
            </w:r>
          </w:p>
        </w:tc>
      </w:tr>
      <w:tr>
        <w:tc>
          <w:tcPr>
            <w:tcW w:type="dxa" w:w="7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R-003</w:t>
            </w:r>
          </w:p>
        </w:tc>
        <w:tc>
          <w:tcPr>
            <w:tcW w:type="dxa" w:w="12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Security</w:t>
            </w:r>
          </w:p>
        </w:tc>
        <w:tc>
          <w:tcPr>
            <w:tcW w:type="dxa" w:w="24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[PII data breach due to misconfigured access control or encryption gap.]</w:t>
            </w:r>
          </w:p>
        </w:tc>
        <w:tc>
          <w:tcPr>
            <w:tcW w:type="dxa" w:w="7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center"/>
            </w:pPr>
            <w:r>
              <w:rPr>
                <w:rFonts w:ascii="Arial" w:cs="Arial" w:eastAsia="Arial" w:hAnsi="Arial"/>
                <w:color w:val="4A4A4A"/>
                <w:sz w:val="20"/>
                <w:szCs w:val="20"/>
              </w:rPr>
              <w:t xml:space="preserve">2</w:t>
            </w:r>
          </w:p>
        </w:tc>
        <w:tc>
          <w:tcPr>
            <w:tcW w:type="dxa" w:w="7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center"/>
            </w:pPr>
            <w:r>
              <w:rPr>
                <w:rFonts w:ascii="Arial" w:cs="Arial" w:eastAsia="Arial" w:hAnsi="Arial"/>
                <w:color w:val="4A4A4A"/>
                <w:sz w:val="20"/>
                <w:szCs w:val="20"/>
              </w:rPr>
              <w:t xml:space="preserve">5</w:t>
            </w:r>
          </w:p>
        </w:tc>
        <w:tc>
          <w:tcPr>
            <w:tcW w:type="dxa" w:w="7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center"/>
            </w:pPr>
            <w:r>
              <w:rPr>
                <w:rFonts w:ascii="Arial" w:cs="Arial" w:eastAsia="Arial" w:hAnsi="Arial"/>
                <w:b/>
                <w:bCs/>
                <w:color w:val="B85C00"/>
                <w:sz w:val="18"/>
                <w:szCs w:val="18"/>
              </w:rPr>
              <w:t xml:space="preserve">10</w:t>
            </w:r>
          </w:p>
        </w:tc>
        <w:tc>
          <w:tcPr>
            <w:tcW w:type="dxa" w:w="12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Head of Security</w:t>
            </w:r>
          </w:p>
        </w:tc>
        <w:tc>
          <w:tcPr>
            <w:tcW w:type="dxa" w:w="276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[RBAC enforced per QMS-STD-02. Penetration test in pre-release phase. Regular security code review.]</w:t>
            </w:r>
          </w:p>
        </w:tc>
      </w:tr>
      <w:tr>
        <w:tc>
          <w:tcPr>
            <w:tcW w:type="dxa" w:w="7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R-004</w:t>
            </w:r>
          </w:p>
        </w:tc>
        <w:tc>
          <w:tcPr>
            <w:tcW w:type="dxa" w:w="12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Performance</w:t>
            </w:r>
          </w:p>
        </w:tc>
        <w:tc>
          <w:tcPr>
            <w:tcW w:type="dxa" w:w="24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[System fails to meet NFR-PERF targets under realistic load.]</w:t>
            </w:r>
          </w:p>
        </w:tc>
        <w:tc>
          <w:tcPr>
            <w:tcW w:type="dxa" w:w="7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center"/>
            </w:pPr>
            <w:r>
              <w:rPr>
                <w:rFonts w:ascii="Arial" w:cs="Arial" w:eastAsia="Arial" w:hAnsi="Arial"/>
                <w:color w:val="4A4A4A"/>
                <w:sz w:val="20"/>
                <w:szCs w:val="20"/>
              </w:rPr>
              <w:t xml:space="preserve">3</w:t>
            </w:r>
          </w:p>
        </w:tc>
        <w:tc>
          <w:tcPr>
            <w:tcW w:type="dxa" w:w="7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center"/>
            </w:pPr>
            <w:r>
              <w:rPr>
                <w:rFonts w:ascii="Arial" w:cs="Arial" w:eastAsia="Arial" w:hAnsi="Arial"/>
                <w:color w:val="4A4A4A"/>
                <w:sz w:val="20"/>
                <w:szCs w:val="20"/>
              </w:rPr>
              <w:t xml:space="preserve">4</w:t>
            </w:r>
          </w:p>
        </w:tc>
        <w:tc>
          <w:tcPr>
            <w:tcW w:type="dxa" w:w="7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center"/>
            </w:pPr>
            <w:r>
              <w:rPr>
                <w:rFonts w:ascii="Arial" w:cs="Arial" w:eastAsia="Arial" w:hAnsi="Arial"/>
                <w:b/>
                <w:bCs/>
                <w:color w:val="B85C00"/>
                <w:sz w:val="18"/>
                <w:szCs w:val="18"/>
              </w:rPr>
              <w:t xml:space="preserve">12</w:t>
            </w:r>
          </w:p>
        </w:tc>
        <w:tc>
          <w:tcPr>
            <w:tcW w:type="dxa" w:w="12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Chief Architect</w:t>
            </w:r>
          </w:p>
        </w:tc>
        <w:tc>
          <w:tcPr>
            <w:tcW w:type="dxa" w:w="276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[Load testing in dedicated performance environment before UAT. NFRs validated against realistic data volumes.]</w:t>
            </w:r>
          </w:p>
        </w:tc>
      </w:tr>
      <w:tr>
        <w:tc>
          <w:tcPr>
            <w:tcW w:type="dxa" w:w="7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R-005</w:t>
            </w:r>
          </w:p>
        </w:tc>
        <w:tc>
          <w:tcPr>
            <w:tcW w:type="dxa" w:w="12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Resource</w:t>
            </w:r>
          </w:p>
        </w:tc>
        <w:tc>
          <w:tcPr>
            <w:tcW w:type="dxa" w:w="24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[Key personnel leave the project, causing knowledge loss and schedule risk.]</w:t>
            </w:r>
          </w:p>
        </w:tc>
        <w:tc>
          <w:tcPr>
            <w:tcW w:type="dxa" w:w="7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center"/>
            </w:pPr>
            <w:r>
              <w:rPr>
                <w:rFonts w:ascii="Arial" w:cs="Arial" w:eastAsia="Arial" w:hAnsi="Arial"/>
                <w:color w:val="4A4A4A"/>
                <w:sz w:val="20"/>
                <w:szCs w:val="20"/>
              </w:rPr>
              <w:t xml:space="preserve">2</w:t>
            </w:r>
          </w:p>
        </w:tc>
        <w:tc>
          <w:tcPr>
            <w:tcW w:type="dxa" w:w="7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center"/>
            </w:pPr>
            <w:r>
              <w:rPr>
                <w:rFonts w:ascii="Arial" w:cs="Arial" w:eastAsia="Arial" w:hAnsi="Arial"/>
                <w:color w:val="4A4A4A"/>
                <w:sz w:val="20"/>
                <w:szCs w:val="20"/>
              </w:rPr>
              <w:t xml:space="preserve">4</w:t>
            </w:r>
          </w:p>
        </w:tc>
        <w:tc>
          <w:tcPr>
            <w:tcW w:type="dxa" w:w="70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center"/>
            </w:pPr>
            <w:r>
              <w:rPr>
                <w:rFonts w:ascii="Arial" w:cs="Arial" w:eastAsia="Arial" w:hAnsi="Arial"/>
                <w:b/>
                <w:bCs/>
                <w:color w:val="1A6B3C"/>
                <w:sz w:val="18"/>
                <w:szCs w:val="18"/>
              </w:rPr>
              <w:t xml:space="preserve">8</w:t>
            </w:r>
          </w:p>
        </w:tc>
        <w:tc>
          <w:tcPr>
            <w:tcW w:type="dxa" w:w="12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 Manager</w:t>
            </w:r>
          </w:p>
        </w:tc>
        <w:tc>
          <w:tcPr>
            <w:tcW w:type="dxa" w:w="276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[Knowledge transfer process. Documentation standards enforced. Bus factor analysis for critical roles.]</w:t>
            </w:r>
          </w:p>
        </w:tc>
      </w:tr>
      <w:tr>
        <w:tc>
          <w:tcPr>
            <w:tcW w:type="dxa" w:w="7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R-006</w:t>
            </w:r>
          </w:p>
        </w:tc>
        <w:tc>
          <w:tcPr>
            <w:tcW w:type="dxa" w:w="12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Compliance</w:t>
            </w:r>
          </w:p>
        </w:tc>
        <w:tc>
          <w:tcPr>
            <w:tcW w:type="dxa" w:w="24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[Regulatory requirement changes (GDPR amendment, new local law) require system changes.]</w:t>
            </w:r>
          </w:p>
        </w:tc>
        <w:tc>
          <w:tcPr>
            <w:tcW w:type="dxa" w:w="7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center"/>
            </w:pPr>
            <w:r>
              <w:rPr>
                <w:rFonts w:ascii="Arial" w:cs="Arial" w:eastAsia="Arial" w:hAnsi="Arial"/>
                <w:color w:val="4A4A4A"/>
                <w:sz w:val="20"/>
                <w:szCs w:val="20"/>
              </w:rPr>
              <w:t xml:space="preserve">2</w:t>
            </w:r>
          </w:p>
        </w:tc>
        <w:tc>
          <w:tcPr>
            <w:tcW w:type="dxa" w:w="7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center"/>
            </w:pPr>
            <w:r>
              <w:rPr>
                <w:rFonts w:ascii="Arial" w:cs="Arial" w:eastAsia="Arial" w:hAnsi="Arial"/>
                <w:color w:val="4A4A4A"/>
                <w:sz w:val="20"/>
                <w:szCs w:val="20"/>
              </w:rPr>
              <w:t xml:space="preserve">3</w:t>
            </w:r>
          </w:p>
        </w:tc>
        <w:tc>
          <w:tcPr>
            <w:tcW w:type="dxa" w:w="70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center"/>
            </w:pPr>
            <w:r>
              <w:rPr>
                <w:rFonts w:ascii="Arial" w:cs="Arial" w:eastAsia="Arial" w:hAnsi="Arial"/>
                <w:b/>
                <w:bCs/>
                <w:color w:val="1A6B3C"/>
                <w:sz w:val="18"/>
                <w:szCs w:val="18"/>
              </w:rPr>
              <w:t xml:space="preserve">6</w:t>
            </w:r>
          </w:p>
        </w:tc>
        <w:tc>
          <w:tcPr>
            <w:tcW w:type="dxa" w:w="12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Compliance Officer</w:t>
            </w:r>
          </w:p>
        </w:tc>
        <w:tc>
          <w:tcPr>
            <w:tcW w:type="dxa" w:w="276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[Regulatory watch process. Compliance matrix reviewed quarterly. Architecture supports configuration changes without code changes where possible.]</w:t>
            </w:r>
          </w:p>
        </w:tc>
      </w:tr>
      <w:tr>
        <w:tc>
          <w:tcPr>
            <w:tcW w:type="dxa" w:w="7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R-007</w:t>
            </w:r>
          </w:p>
        </w:tc>
        <w:tc>
          <w:tcPr>
            <w:tcW w:type="dxa" w:w="12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Quality</w:t>
            </w:r>
          </w:p>
        </w:tc>
        <w:tc>
          <w:tcPr>
            <w:tcW w:type="dxa" w:w="24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[Test environment instability causes delays to test execution cycles.]</w:t>
            </w:r>
          </w:p>
        </w:tc>
        <w:tc>
          <w:tcPr>
            <w:tcW w:type="dxa" w:w="7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center"/>
            </w:pPr>
            <w:r>
              <w:rPr>
                <w:rFonts w:ascii="Arial" w:cs="Arial" w:eastAsia="Arial" w:hAnsi="Arial"/>
                <w:color w:val="4A4A4A"/>
                <w:sz w:val="20"/>
                <w:szCs w:val="20"/>
              </w:rPr>
              <w:t xml:space="preserve">3</w:t>
            </w:r>
          </w:p>
        </w:tc>
        <w:tc>
          <w:tcPr>
            <w:tcW w:type="dxa" w:w="7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center"/>
            </w:pPr>
            <w:r>
              <w:rPr>
                <w:rFonts w:ascii="Arial" w:cs="Arial" w:eastAsia="Arial" w:hAnsi="Arial"/>
                <w:color w:val="4A4A4A"/>
                <w:sz w:val="20"/>
                <w:szCs w:val="20"/>
              </w:rPr>
              <w:t xml:space="preserve">3</w:t>
            </w:r>
          </w:p>
        </w:tc>
        <w:tc>
          <w:tcPr>
            <w:tcW w:type="dxa" w:w="7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center"/>
            </w:pPr>
            <w:r>
              <w:rPr>
                <w:rFonts w:ascii="Arial" w:cs="Arial" w:eastAsia="Arial" w:hAnsi="Arial"/>
                <w:b/>
                <w:bCs/>
                <w:color w:val="B85C00"/>
                <w:sz w:val="18"/>
                <w:szCs w:val="18"/>
              </w:rPr>
              <w:t xml:space="preserve">9</w:t>
            </w:r>
          </w:p>
        </w:tc>
        <w:tc>
          <w:tcPr>
            <w:tcW w:type="dxa" w:w="120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 Director</w:t>
            </w:r>
          </w:p>
        </w:tc>
        <w:tc>
          <w:tcPr>
            <w:tcW w:type="dxa" w:w="276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[Environment stability SLA defined. DevOps on-call during active test cycles. Environment health monitoring configured.]</w:t>
            </w:r>
          </w:p>
        </w:tc>
      </w:tr>
    </w:tbl>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4. Closed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000"/>
        <w:gridCol w:w="3060"/>
      </w:tblGrid>
      <w:tr>
        <w:tc>
          <w:tcPr>
            <w:tcW w:type="dxa" w:w="800"/>
            <w:tcBorders>
              <w:top w:val="single" w:color="4A4A4A" w:sz="1"/>
              <w:left w:val="single" w:color="4A4A4A" w:sz="1"/>
              <w:bottom w:val="single" w:color="4A4A4A" w:sz="1"/>
              <w:right w:val="single" w:color="4A4A4A" w:sz="1"/>
            </w:tcBorders>
            <w:shd w:fill="4A4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ID</w:t>
            </w:r>
          </w:p>
        </w:tc>
        <w:tc>
          <w:tcPr>
            <w:tcW w:type="dxa" w:w="3500"/>
            <w:tcBorders>
              <w:top w:val="single" w:color="4A4A4A" w:sz="1"/>
              <w:left w:val="single" w:color="4A4A4A" w:sz="1"/>
              <w:bottom w:val="single" w:color="4A4A4A" w:sz="1"/>
              <w:right w:val="single" w:color="4A4A4A" w:sz="1"/>
            </w:tcBorders>
            <w:shd w:fill="4A4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Risk Description</w:t>
            </w:r>
          </w:p>
        </w:tc>
        <w:tc>
          <w:tcPr>
            <w:tcW w:type="dxa" w:w="2000"/>
            <w:tcBorders>
              <w:top w:val="single" w:color="4A4A4A" w:sz="1"/>
              <w:left w:val="single" w:color="4A4A4A" w:sz="1"/>
              <w:bottom w:val="single" w:color="4A4A4A" w:sz="1"/>
              <w:right w:val="single" w:color="4A4A4A" w:sz="1"/>
            </w:tcBorders>
            <w:shd w:fill="4A4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Date Closed</w:t>
            </w:r>
          </w:p>
        </w:tc>
        <w:tc>
          <w:tcPr>
            <w:tcW w:type="dxa" w:w="3060"/>
            <w:tcBorders>
              <w:top w:val="single" w:color="4A4A4A" w:sz="1"/>
              <w:left w:val="single" w:color="4A4A4A" w:sz="1"/>
              <w:bottom w:val="single" w:color="4A4A4A" w:sz="1"/>
              <w:right w:val="single" w:color="4A4A4A" w:sz="1"/>
            </w:tcBorders>
            <w:shd w:fill="4A4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Resolution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No risks closed yet. This register is newly created.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w:t>
            </w:r>
          </w:p>
        </w:tc>
      </w:tr>
    </w:tbl>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ℹ NOTE</w:t>
            </w:r>
          </w:p>
        </w:tc>
        <w:tc>
          <w:tcPr>
            <w:tcW w:type="dxa" w:w="7960"/>
            <w:tcBorders>
              <w:top w:val="single" w:color="D6E4F7" w:sz="1"/>
              <w:left w:val="single" w:color="D6E4F7" w:sz="1"/>
              <w:bottom w:val="single" w:color="D6E4F7" w:sz="1"/>
              <w:right w:val="single" w:color="D6E4F7" w:sz="1"/>
            </w:tcBorders>
            <w:shd w:fill="D6E4F7" w:val="clear"/>
            <w:tcMar>
              <w:top w:type="dxa" w:w="80"/>
              <w:left w:type="dxa" w:w="140"/>
              <w:bottom w:type="dxa" w:w="80"/>
              <w:right w:type="dxa" w:w="140"/>
            </w:tcMar>
            <w:vAlign w:val="top"/>
          </w:tcPr>
          <w:p>
            <w:r>
              <w:rPr>
                <w:rFonts w:ascii="Arial" w:cs="Arial" w:eastAsia="Arial" w:hAnsi="Arial"/>
                <w:color w:val="4A4A4A"/>
                <w:sz w:val="20"/>
                <w:szCs w:val="20"/>
              </w:rPr>
              <w:t xml:space="preserve">This register must be reviewed monthly by the QA Director and Project Manager. New risks are added immediately upon identification. Closed risks are moved to Section 4. The register is updated in the Document Index on each update.</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after="0"/>
    </w:pPr>
    <w:r>
      <w:rPr>
        <w:rFonts w:ascii="Arial" w:cs="Arial" w:eastAsia="Arial" w:hAnsi="Arial"/>
        <w:color w:val="CCCCCC"/>
        <w:sz w:val="16"/>
        <w:szCs w:val="16"/>
      </w:rPr>
      <w:t xml:space="preserve">Universal Project Document Base  ·  Template Library  ·  Replace all [BRACKETED] placeholders before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spacing w:before="0" w:after="100"/>
    </w:pPr>
    <w:r>
      <w:rPr>
        <w:rFonts w:ascii="Arial" w:cs="Arial" w:eastAsia="Arial" w:hAnsi="Arial"/>
        <w:color w:val="4A4A4A"/>
        <w:sz w:val="16"/>
        <w:szCs w:val="16"/>
      </w:rPr>
      <w:t xml:space="preserve">QA  |  Risk Analysis Register  |  QA-[PROJECT]-RISK-[DATE]-01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FA3"/>
      <w:sz w:val="28"/>
      <w:szCs w:val="28"/>
    </w:rPr>
  </w:style>
  <w:style w:type="paragraph" w:styleId="Heading3">
    <w:name w:val="Heading 3"/>
    <w:basedOn w:val="Normal"/>
    <w:next w:val="Normal"/>
    <w:qFormat/>
    <w:pPr>
      <w:spacing w:before="22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2026-03-22T07:16:41.773Z</dcterms:created>
  <dcterms:modified xsi:type="dcterms:W3CDTF">2026-03-22T07:16:41.773Z</dcterms:modified>
</cp:coreProperties>
</file>

<file path=docProps/custom.xml><?xml version="1.0" encoding="utf-8"?>
<Properties xmlns="http://schemas.openxmlformats.org/officeDocument/2006/custom-properties" xmlns:vt="http://schemas.openxmlformats.org/officeDocument/2006/docPropsVTypes"/>
</file>