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82B2B"/>
          <w:sz w:val="28"/>
          <w:szCs w:val="28"/>
        </w:rPr>
        <w:t xml:space="preserve">GOVERNANCE, RISK &amp; COMPLIANCE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Security Governance
Compendium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GRC-[PROJECT]-SEC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Security Governance Compendium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 / CISO]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(max 12 months)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teams: Development, DevOps, QA, Operations, Management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Note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document contains security-sensitive information. Distribution restricted to named recipients.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 /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Guiding Security Principles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security decisions, controls, and processes must be aligned with the following core principles. These are non-negotiable — trade-offs must be explicitly approved by the Head of Security.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Application in [PROJECT]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Zero Trust 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entity — internal or external — is trusted by default. Every access request must be authenticated, authorized, and encrypted. Implemented via [Keycloak user auth + Azure Managed Identity service auth + mTLS].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entities (users, services, processes) are granted only the minimum access required to perform their function. Enforced via RBAC (see QMS-[PROJECT]-STD-02).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Defense in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overlapping security layers ensure a single control failure does not lead to systemic compromise. Layers: network perimeter, WAF, application auth, RBAC, data encryption, audit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Security by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controls are designed in from the start, not added retrospectively. Security requirements are defined in BA-[PROJECT]-SRS and validated in QA-[PROJECT]-MTP.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Personal data protection is embedded in system design. PII/SPII fields are classified, encrypted, and access-controlled per the data classification in this document.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Assume Breach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is designed assuming a breach will eventually occur. Detection (audit logs, SIEM alerts), containment (segmentation), and recovery (DR plan) capabilities are prioritized.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Governance Frameworks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Standard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[PROJECT]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NIST CSF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strategic framework. All security activities mapped to: Govern, Identify, Protect, Detect, Respond, Recover.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ISMS standard. Controls from Annex A used as the control selection baseline. Plan-Do-Check-Act cycle governs security review cadence.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OWASP ASVS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L2 / 5.0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 security verification. All application components must meet ASVS Level 2 requirements as documented in QMS-[PROJECT]-SEC-03.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NIST RMF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 800-37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Risk management lifecycle methodology. Guides creation of risk register (QA-[PROJECT]-RISK) and continuous monitoring.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Threat modeling reference. Used to identify applicable threat techniques and ensure defensive controls address them.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GDPR / [Regulation]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[Version]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protection regulation. PII/SPII handling per Section 5 and HRDP-COMP-01 / equivalent compliance matrix.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NIST SP 800-61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Incident response lifecycle: Preparation → Detection &amp; Analysis → Containment, Eradication &amp; Recovery → Post-Incident Activity.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Identity &amp; Access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Authentication Architecture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authentication flow. Example: Users authenticate via Keycloak (OIDC/OAuth2). Service-to-service authentication uses Azure Managed Identity — no static credentials. Tokens are short-lived (access: 15min, refresh: 8h).]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Authorization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full RBAC standard is documented in QMS-[PROJECT]-STD-02. This section provides the executive summary.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Rights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[Super Admin]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system access. Assigned only to [N] named individuals. MFA mandatory. All actions audited.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[HR Administrator]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 to HR data for their assigned tenants. Cannot access payroll data. Read-only audit logs.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[Manager]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 access to direct reports' data. Approve/reject workflows. No bulk data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[Employee (ESS)]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Read/write own data only. Cannot view other employee records. Limited to self-service functions.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[Read-Only Auditor]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Read-only access to audit logs and compliance reports. No write access. Time-limited sessions.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[System Service]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API-to-API auth via Managed Identity. Scoped to required endpoints only. No user-context access.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Data Classification &amp;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00"/>
        <w:gridCol w:w="1960"/>
        <w:gridCol w:w="190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Rule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Rule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National ID, biometrics, health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Encrypted AES-256. Separate encrypted column/store. Key in Vault.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individuals only + audit 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 then secure delete</w:t>
            </w:r>
          </w:p>
        </w:tc>
      </w:tr>
      <w:tr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Name, email, date of birth, 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Encrypted at rest. TLS in transit. Masked in logs.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Role-based. Log all access.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 per regulation</w:t>
            </w:r>
          </w:p>
        </w:tc>
      </w:tr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Salary bands, org 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Access-controlled. Not public.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 and above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 years</w:t>
            </w:r>
          </w:p>
        </w:tc>
      </w:tr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brochures, press releases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special storage requirements.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authenticated 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Incident Response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Incident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306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9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— active breach or total service loss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exfiltration, ransomware, complete outage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Immediate response. Notify CISO within 15 min. Executive escalation within 1h.</w:t>
            </w:r>
          </w:p>
        </w:tc>
      </w:tr>
      <w:tr>
        <w:tc>
          <w:tcPr>
            <w:tcW w:type="dxa" w:w="9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 — significant risk of breach or partial outage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Unauthorized access attempt, partial service degradation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Response within 1h. Notify CISO within 2h.</w:t>
            </w:r>
          </w:p>
        </w:tc>
      </w:tr>
      <w:tr>
        <w:tc>
          <w:tcPr>
            <w:tcW w:type="dxa" w:w="9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 — security anomaly requiring investigation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Repeated failed logins, unusual access patterns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Investigation within 4h. Document findings.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Incident Response Lifecycle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Preparation: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Maintain IR playbooks. Train response team. Ensure logging is active. Define contact escalation tree.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Detection &amp; Analysis: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SIEM alerts, anomaly detection, user reports. Assess severity (P1/P2/P3). Preserve evidence. Timeline reconstruction.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Containment: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Isolate affected systems. Revoke compromised credentials. Notify affected parties per regulation (e.g., GDPR: 72h notification for data breaches).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Eradication: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Remove threat actor access. Patch exploited vulnerability. Verify systems are clean.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Recovery: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Restore from clean backups. Verify integrity. Gradually restore services. Monitor for recurrence.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Post-Incident Review: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Document lessons learned. Update controls, playbooks, and risk register (QA-[PROJECT]-RISK). File report with Compliance Officer.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Compliance Obligations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/ Standard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Controls in [PROJECT]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In 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minimization, consent management, right to erasure, breach notification within 72h, DPO designated.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ISMS implemented. Annual audit required. Annex A controls reviewed and applied.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OWASP ASVS 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In 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 security controls per QMS-[PROJECT]-SEC-03. Verified in QA-[PROJECT]-MTP.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[Other Regulation]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[Status]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[Key controls]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2B2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GRC  |  Security Governance Compendium  |  GRC-[PROJECT]-SEC-[DATE]-01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2026-03-22T07:11:12.553Z</dcterms:created>
  <dcterms:modified xsi:type="dcterms:W3CDTF">2026-03-22T07:11:12.553Z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