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rPr>
          <w:sz w:val="20"/>
          <w:szCs w:val="20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A82B2B"/>
          <w:sz w:val="28"/>
          <w:szCs w:val="28"/>
        </w:rPr>
        <w:t xml:space="preserve">GOVERNANCE, RISK &amp; COMPLIANCE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Vendor &amp; Third-Party
Risk Assessment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C8952A"/>
          <w:sz w:val="28"/>
          <w:szCs w:val="28"/>
        </w:rPr>
        <w:t xml:space="preserve">GRC-[PROJECT]-VENDOR-RISK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GRC-[PROJECT]-VENDOR-RISK-[DATE]-01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pPr>
        <w:spacing w:before="60" w:after="0"/>
      </w:pPr>
      <w:r>
        <w:rPr>
          <w:sz w:val="20"/>
          <w:szCs w:val="20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Universal Project Document Base  ·  Phase 2 — Template Library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GRC-[PROJECT]-VENDOR-RISK-[DATE]-01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 NAME] — Vendor &amp; Third-Party Risk Assessment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Procurement / Compliance Officer]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Head of Security]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Compliance Officer]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 (annually or on vendor change)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third-party vendors, SaaS platforms, cloud providers, and contractors who access [PROJECT] data or systems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Documents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GRC-[PROJECT]-SEC, GRC-[PROJECT]-DPIA, DATA-[PROJECT]-GOV-FWK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500"/>
        <w:gridCol w:w="4060"/>
      </w:tblGrid>
      <w:tr>
        <w:tc>
          <w:tcPr>
            <w:tcW w:type="dxa" w:w="1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Role]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Initial approved version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700"/>
        <w:gridCol w:w="198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Reference</w:t>
            </w:r>
          </w:p>
        </w:tc>
        <w:tc>
          <w:tcPr>
            <w:tcW w:type="dxa" w:w="19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Compliance Officer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 of 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Procurement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Vendor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400"/>
        <w:gridCol w:w="1200"/>
        <w:gridCol w:w="1400"/>
        <w:gridCol w:w="1200"/>
        <w:gridCol w:w="1360"/>
      </w:tblGrid>
      <w:tr>
        <w:tc>
          <w:tcPr>
            <w:tcW w:type="dxa" w:w="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 Name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Provided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Access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Criticality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DPA Signed</w:t>
            </w:r>
          </w:p>
        </w:tc>
        <w:tc>
          <w:tcPr>
            <w:tcW w:type="dxa" w:w="1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 Review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2B2B"/>
                <w:sz w:val="20"/>
                <w:szCs w:val="20"/>
              </w:rPr>
              <w:t xml:space="preserve">V-001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[Vendor Name]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[Service]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PII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2B2B"/>
                <w:sz w:val="20"/>
                <w:szCs w:val="20"/>
              </w:rPr>
              <w:t xml:space="preserve">V-002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[Vendor Name]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[Service]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SPII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2B2B"/>
                <w:sz w:val="20"/>
                <w:szCs w:val="20"/>
              </w:rPr>
              <w:t xml:space="preserve">V-003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[Vendor Name]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[Service]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Pending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2B2B"/>
                <w:sz w:val="20"/>
                <w:szCs w:val="20"/>
              </w:rPr>
              <w:t xml:space="preserve">V-004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[Vendor Name]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[Service]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Internal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Vendor Risk Assessment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GUIDANCE</w:t>
            </w:r>
          </w:p>
        </w:tc>
        <w:tc>
          <w:tcPr>
            <w:tcW w:type="dxa" w:w="7960"/>
            <w:tcBorders>
              <w:top w:val="single" w:color="D6EFE1" w:sz="1"/>
              <w:left w:val="single" w:color="D6EFE1" w:sz="1"/>
              <w:bottom w:val="single" w:color="D6EFE1" w:sz="1"/>
              <w:right w:val="single" w:color="D6EFE1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Complete one Section 3 assessment per vendor. Duplicate this section for each vendor in the register.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Vendor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V-[NNN]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[Legal entity name]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 of Incorporation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[Country]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Processing Location(s)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[Country/Region — identify any third-country locations]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Description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[What does this vendor do for [PROJECT]?]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Accessed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[What [PROJECT] data does this vendor access? Reference DATA-[PROJECT]-DICT field IDs]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Classification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[SPII / PII / Confidential / Internal / None]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[API / File transfer / Direct DB access / SaaS / Physical access]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Due Diligence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400"/>
        <w:gridCol w:w="1200"/>
        <w:gridCol w:w="960"/>
      </w:tblGrid>
      <w:tr>
        <w:tc>
          <w:tcPr>
            <w:tcW w:type="dxa" w:w="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6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Diligence Item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2B2B"/>
                <w:sz w:val="20"/>
                <w:szCs w:val="20"/>
              </w:rPr>
              <w:t xml:space="preserve">DD-01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 Processing Agreement (DPA) signed per GDPR Art. 28 (if vendor processes personal data).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 ] Met  [ ] Not Met  [ ] N/A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[Ref]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2B2B"/>
                <w:sz w:val="20"/>
                <w:szCs w:val="20"/>
              </w:rPr>
              <w:t xml:space="preserve">DD-02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Vendor holds a current ISO 27001 certification or equivalent. Certificate reviewed.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 ] Met  [ ] Not Met  [ ] N/A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[Ref]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2B2B"/>
                <w:sz w:val="20"/>
                <w:szCs w:val="20"/>
              </w:rPr>
              <w:t xml:space="preserve">DD-03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SOC 2 Type II report obtained and reviewed. No critical findings unresolved.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 ] Met  [ ] Not Met  [ ] N/A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[Ref]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2B2B"/>
                <w:sz w:val="20"/>
                <w:szCs w:val="20"/>
              </w:rPr>
              <w:t xml:space="preserve">DD-04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Vendor's data breach notification SLA confirmed: ≤ 72 hours notification to us per GDPR Art. 33.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 ] Met  [ ] Not Met  [ ] N/A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[Ref]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2B2B"/>
                <w:sz w:val="20"/>
                <w:szCs w:val="20"/>
              </w:rPr>
              <w:t xml:space="preserve">DD-05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Sub-processors listed and approved. Vendor cannot onboard new sub-processors without our consent.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 ] Met  [ ] Not Met  [ ] N/A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[Ref]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2B2B"/>
                <w:sz w:val="20"/>
                <w:szCs w:val="20"/>
              </w:rPr>
              <w:t xml:space="preserve">DD-06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 residency confirmed: data will not leave approved geographic regions without written consent.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 ] Met  [ ] Not Met  [ ] N/A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[Ref]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2B2B"/>
                <w:sz w:val="20"/>
                <w:szCs w:val="20"/>
              </w:rPr>
              <w:t xml:space="preserve">DD-07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Penetration test results obtained (last [N] months). Critical findings resolved.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 ] Met  [ ] Not Met  [ ] N/A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[Ref]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2B2B"/>
                <w:sz w:val="20"/>
                <w:szCs w:val="20"/>
              </w:rPr>
              <w:t xml:space="preserve">DD-08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Vendor's business continuity plan reviewed. RTO/RPO acceptable for our dependency.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 ] Met  [ ] Not Met  [ ] N/A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[Ref]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2B2B"/>
                <w:sz w:val="20"/>
                <w:szCs w:val="20"/>
              </w:rPr>
              <w:t xml:space="preserve">DD-09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Vendor offboarding process confirmed: data return/deletion procedure documented and contractual.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 ] Met  [ ] Not Met  [ ] N/A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[Ref]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2B2B"/>
                <w:sz w:val="20"/>
                <w:szCs w:val="20"/>
              </w:rPr>
              <w:t xml:space="preserve">DD-10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Financial health review performed (for Critical vendors): no material insolvency risk identified.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 ] Met  [ ] Not Met  [ ] N/A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[Ref]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3.3 Risk Rating &amp;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Inherent Risk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[Low / Medium / High / Critical — based on data classification and integration depth]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Residual Risk (post-controls)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[Low / Medium / High — after due diligence controls and contractual protections]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Approval Decision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 ] Approved  [ ] Approved with conditions  [ ] Rejected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Conditions (if any)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[List any conditions that must be met before or during the vendor engagement]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 — annually for Critical/High vendors, biannually for Medium/Low]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700"/>
        <w:gridCol w:w="198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Reference</w:t>
            </w:r>
          </w:p>
        </w:tc>
        <w:tc>
          <w:tcPr>
            <w:tcW w:type="dxa" w:w="19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Compliance Officer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 of 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00" w:after="0"/>
    </w:pPr>
    <w:r>
      <w:rPr>
        <w:rFonts w:ascii="Arial" w:cs="Arial" w:eastAsia="Arial" w:hAnsi="Arial"/>
        <w:color w:val="CCCCCC"/>
        <w:sz w:val="16"/>
        <w:szCs w:val="16"/>
      </w:rPr>
      <w:t xml:space="preserve">Universal Project Document Base  ·  Template Library  ·  Replace all [BRACKETED] placeholders before use.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82B2B" w:sz="4" w:space="1"/>
      </w:pBdr>
      <w:spacing w:before="0" w:after="100"/>
    </w:pPr>
    <w:r>
      <w:rPr>
        <w:rFonts w:ascii="Arial" w:cs="Arial" w:eastAsia="Arial" w:hAnsi="Arial"/>
        <w:color w:val="4A4A4A"/>
        <w:sz w:val="16"/>
        <w:szCs w:val="16"/>
      </w:rPr>
      <w:t xml:space="preserve">GRC  |  Vendor &amp; Third-Party Risk Assessment  |  GRC-[PROJECT]-VENDOR-RISK-[DATE]-01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2026-03-22T07:58:49.964Z</dcterms:created>
  <dcterms:modified xsi:type="dcterms:W3CDTF">2026-03-22T07:58:49.964Z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