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0"/>
          <w:szCs w:val="20"/>
        </w:rPr>
        <w:t xml:space="preserve"/>
      </w:r>
    </w:p>
    <w:p>
      <w:pPr>
        <w:spacing w:before="0" w:after="80"/>
        <w:jc w:val="center"/>
      </w:pPr>
      <w:r>
        <w:rPr>
          <w:rFonts w:ascii="Arial" w:cs="Arial" w:eastAsia="Arial" w:hAnsi="Arial"/>
          <w:b/>
          <w:bCs/>
          <w:color w:val="1A5E6B"/>
          <w:sz w:val="28"/>
          <w:szCs w:val="28"/>
        </w:rPr>
        <w:t xml:space="preserve">DATA GOVERNANCE</w:t>
      </w:r>
    </w:p>
    <w:p>
      <w:pPr>
        <w:spacing w:before="0" w:after="40"/>
        <w:jc w:val="center"/>
      </w:pPr>
      <w:r>
        <w:rPr>
          <w:rFonts w:ascii="Arial" w:cs="Arial" w:eastAsia="Arial" w:hAnsi="Arial"/>
          <w:b/>
          <w:bCs/>
          <w:color w:val="1B2A4A"/>
          <w:sz w:val="64"/>
          <w:szCs w:val="64"/>
        </w:rPr>
        <w:t xml:space="preserve">Data Retention &amp;
Disposal Policy</w:t>
      </w:r>
    </w:p>
    <w:p>
      <w:pPr>
        <w:spacing w:before="0" w:after="280"/>
        <w:jc w:val="center"/>
      </w:pPr>
      <w:r>
        <w:rPr>
          <w:rFonts w:ascii="Arial" w:cs="Arial" w:eastAsia="Arial" w:hAnsi="Arial"/>
          <w:color w:val="C8952A"/>
          <w:sz w:val="28"/>
          <w:szCs w:val="28"/>
        </w:rPr>
        <w:t xml:space="preserve">DATA-[PROJECT]-RETENTION</w:t>
      </w:r>
    </w:p>
    <w:p>
      <w:pPr>
        <w:spacing w:before="0" w:after="60"/>
        <w:jc w:val="center"/>
      </w:pPr>
      <w:r>
        <w:rPr>
          <w:rFonts w:ascii="Arial" w:cs="Arial" w:eastAsia="Arial" w:hAnsi="Arial"/>
          <w:color w:val="CCCCCC"/>
          <w:sz w:val="24"/>
          <w:szCs w:val="24"/>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DATA-[PROJECT]-RETENTION-[DATE]-01</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DRAFT</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pPr>
        <w:spacing w:before="60" w:after="0"/>
      </w:pPr>
      <w:r>
        <w:rPr>
          <w:sz w:val="20"/>
          <w:szCs w:val="20"/>
        </w:rPr>
        <w:t xml:space="preserve"/>
      </w:r>
    </w:p>
    <w:p>
      <w:pPr>
        <w:spacing w:before="0" w:after="60"/>
        <w:jc w:val="center"/>
      </w:pPr>
      <w:r>
        <w:rPr>
          <w:rFonts w:ascii="Arial" w:cs="Arial" w:eastAsia="Arial" w:hAnsi="Arial"/>
          <w:color w:val="CCCCCC"/>
          <w:sz w:val="24"/>
          <w:szCs w:val="24"/>
        </w:rPr>
        <w:t xml:space="preserve">─────────────────────────────────────────────</w:t>
      </w:r>
    </w:p>
    <w:p>
      <w:pPr>
        <w:jc w:val="center"/>
      </w:pPr>
      <w:r>
        <w:rPr>
          <w:rFonts w:ascii="Arial" w:cs="Arial" w:eastAsia="Arial" w:hAnsi="Arial"/>
          <w:color w:val="CCCCCC"/>
          <w:sz w:val="18"/>
          <w:szCs w:val="18"/>
        </w:rPr>
        <w:t xml:space="preserve">Universal Project Document Base  ·  Phase 2 — Template Library</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DATA-[PROJECT]-RETENTION-[DATE]-01</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NAME] — Data Retention &amp; Disposal Policy</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Confidential</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Privacy Officer / DPO]</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Reviewed By</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Data Governance Lead] — [YYYY-MM-DD]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Approved By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Compliance Officer] — [YYYY-MM-DD]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 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Project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Regulatory Basis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GDPR Art. 5(1)(e) / [applicable local regulation] / [industry standard]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Applies To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systems, databases, backups, and archives holding [PROJECT] data</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Linked Documents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DATA-[PROJECT]-GOV-FWK, DATA-[PROJECT]-DICT, GRC-[PROJECT]-SEC</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500"/>
        <w:gridCol w:w="4060"/>
      </w:tblGrid>
      <w:tr>
        <w:tc>
          <w:tcPr>
            <w:tcW w:type="dxa" w:w="11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4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Summary of Changes</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Initial approved version</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1.2 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700"/>
        <w:gridCol w:w="198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Full Name</w:t>
            </w:r>
          </w:p>
        </w:tc>
        <w:tc>
          <w:tcPr>
            <w:tcW w:type="dxa" w:w="2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Signature Reference</w:t>
            </w:r>
          </w:p>
        </w:tc>
        <w:tc>
          <w:tcPr>
            <w:tcW w:type="dxa" w:w="19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Privacy Officer / DPO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 Officer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 Governance Lead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2. Policy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 CRITICAL</w:t>
            </w:r>
          </w:p>
        </w:tc>
        <w:tc>
          <w:tcPr>
            <w:tcW w:type="dxa" w:w="7960"/>
            <w:tcBorders>
              <w:top w:val="single" w:color="FAE0E0" w:sz="1"/>
              <w:left w:val="single" w:color="FAE0E0" w:sz="1"/>
              <w:bottom w:val="single" w:color="FAE0E0" w:sz="1"/>
              <w:right w:val="single" w:color="FAE0E0" w:sz="1"/>
            </w:tcBorders>
            <w:shd w:fill="FAE0E0" w:val="clear"/>
            <w:tcMar>
              <w:top w:type="dxa" w:w="80"/>
              <w:left w:type="dxa" w:w="140"/>
              <w:bottom w:type="dxa" w:w="80"/>
              <w:right w:type="dxa" w:w="140"/>
            </w:tcMar>
            <w:vAlign w:val="top"/>
          </w:tcPr>
          <w:p>
            <w:r>
              <w:rPr>
                <w:rFonts w:ascii="Arial" w:cs="Arial" w:eastAsia="Arial" w:hAnsi="Arial"/>
                <w:color w:val="4A4A4A"/>
                <w:sz w:val="20"/>
                <w:szCs w:val="20"/>
              </w:rPr>
              <w:t xml:space="preserve">Data shall not be retained for longer than is necessary for its stated purpose. Retention beyond the defined period without documented legal justification is a policy violation and a regulatory risk.</w:t>
            </w:r>
          </w:p>
        </w:tc>
      </w:tr>
    </w:tbl>
    <w:p>
      <w:pPr>
        <w:spacing w:before="120" w:after="120"/>
        <w:jc w:val="left"/>
      </w:pPr>
      <w:r>
        <w:rPr>
          <w:rFonts w:ascii="Arial" w:cs="Arial" w:eastAsia="Arial" w:hAnsi="Arial"/>
          <w:color w:val="4A4A4A"/>
          <w:sz w:val="22"/>
          <w:szCs w:val="22"/>
        </w:rPr>
        <w:t xml:space="preserve">[PROJECT] will retain data only as long as required by: (a) the business purpose for which it was collected, (b) applicable legal or regulatory requirements, or (c) legitimate operational needs. Data that has reached its retention limit will be disposed of by the method specified in this policy within [N] days of the retention limit being reached.</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3.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400"/>
        <w:gridCol w:w="1600"/>
        <w:gridCol w:w="196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Data Category</w:t>
            </w:r>
          </w:p>
        </w:tc>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Examples</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Retention Period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Trigger Event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Disposal Method</w:t>
            </w:r>
          </w:p>
        </w:tc>
        <w:tc>
          <w:tcPr>
            <w:tcW w:type="dxa" w:w="1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Legal Basis / Reference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Employee PII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contact, DOB, address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years post-employment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Employment end 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Cryptographic erasure + audit cert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[Employment law / GDPR Art. 6(1)(b)]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Employee SPII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National ID, health, biometrics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years post-employment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Employment end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Cryptographic erasure + DPO certification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[Regulation / GDPR Art. 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Payroll Records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Salary, tax, payslips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years post-payment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Payment 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Secure deletion + audit cert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[Tax law / statutory 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Audit &amp; Access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Authentication, data access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Log creation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Secure deletion (logs may not be anonymised — they must be deleted)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[GDPR Art. 5 / security policy]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Application Logs (non-PII)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System events, performance data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months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Log creation 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Standard deletion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Operational necessity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Backup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data categories above apply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Same as primary data + [N]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Backup creation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Secure overwrite of backup media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Mirrors primary retention schedule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 &amp; Dev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Anonymised copies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months from anonymisation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Anonymisation 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Standard deletion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Must be anonymised before use — not pseudonymised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User-Deleted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 deleted by user request (GDPR Art. 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[N] days (soft-delete 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User deletion 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Hard delete from all systems incl. backups within [N]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GDPR Art. 17 Right to Erasure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Contractual / Legal Hold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 under litigation hold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Duration of hold + [N] years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Legal hold lifted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Per legal counsel instruction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Legal obligation override</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4. Disposal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Method</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Applies To</w:t>
            </w:r>
          </w:p>
        </w:tc>
        <w:tc>
          <w:tcPr>
            <w:tcW w:type="dxa" w:w="4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Process &amp; Evidence Required</w:t>
            </w:r>
          </w:p>
        </w:tc>
      </w:tr>
      <w:tr>
        <w:tc>
          <w:tcPr>
            <w:tcW w:type="dxa" w:w="2200"/>
            <w:tcBorders>
              <w:top w:val="single" w:color="CCCCCC" w:sz="1"/>
              <w:left w:val="single" w:color="CCCCCC" w:sz="1"/>
              <w:bottom w:val="single" w:color="CCCCCC" w:sz="1"/>
              <w:right w:val="single" w:color="CCCCCC" w:sz="1"/>
            </w:tcBorders>
            <w:shd w:fill="D6EEF2" w:val="clear"/>
            <w:tcMar>
              <w:top w:type="dxa" w:w="80"/>
              <w:left w:type="dxa" w:w="140"/>
              <w:bottom w:type="dxa" w:w="80"/>
              <w:right w:type="dxa" w:w="140"/>
            </w:tcMar>
            <w:vAlign w:val="top"/>
          </w:tcPr>
          <w:p>
            <w:pPr>
              <w:jc w:val="left"/>
            </w:pPr>
            <w:r>
              <w:rPr>
                <w:rFonts w:ascii="Arial" w:cs="Arial" w:eastAsia="Arial" w:hAnsi="Arial"/>
                <w:b/>
                <w:bCs/>
                <w:color w:val="1A5E6B"/>
                <w:sz w:val="20"/>
                <w:szCs w:val="20"/>
              </w:rPr>
              <w:t xml:space="preserve">Cryptographic Erasure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SPII, PII fields encrypted with dedicated keys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Destroy the encryption key. The data remains but is permanently inaccessible. DPO must certify key destruction. Evidence: Key Destruction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A5E6B"/>
                <w:sz w:val="20"/>
                <w:szCs w:val="20"/>
              </w:rPr>
              <w:t xml:space="preserve">Secure Deletion (Software)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Database records, application files, log 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NIST SP 800-88 compliant overwrite or database-level DELETE with vacuum/purge. Evidence: Deletion job completion log signed by Data Custodian.</w:t>
            </w:r>
          </w:p>
        </w:tc>
      </w:tr>
      <w:tr>
        <w:tc>
          <w:tcPr>
            <w:tcW w:type="dxa" w:w="2200"/>
            <w:tcBorders>
              <w:top w:val="single" w:color="CCCCCC" w:sz="1"/>
              <w:left w:val="single" w:color="CCCCCC" w:sz="1"/>
              <w:bottom w:val="single" w:color="CCCCCC" w:sz="1"/>
              <w:right w:val="single" w:color="CCCCCC" w:sz="1"/>
            </w:tcBorders>
            <w:shd w:fill="D6EEF2" w:val="clear"/>
            <w:tcMar>
              <w:top w:type="dxa" w:w="80"/>
              <w:left w:type="dxa" w:w="140"/>
              <w:bottom w:type="dxa" w:w="80"/>
              <w:right w:type="dxa" w:w="140"/>
            </w:tcMar>
            <w:vAlign w:val="top"/>
          </w:tcPr>
          <w:p>
            <w:pPr>
              <w:jc w:val="left"/>
            </w:pPr>
            <w:r>
              <w:rPr>
                <w:rFonts w:ascii="Arial" w:cs="Arial" w:eastAsia="Arial" w:hAnsi="Arial"/>
                <w:b/>
                <w:bCs/>
                <w:color w:val="1A5E6B"/>
                <w:sz w:val="20"/>
                <w:szCs w:val="20"/>
              </w:rPr>
              <w:t xml:space="preserve">Anonymisation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Test/dev data, analytical datasets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Remove or replace all direct and indirect identifiers such that re-identification is not reasonably possible. DPO must certify anonymisation is irreversible. Pseudonymisation is NOT anonymisation.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A5E6B"/>
                <w:sz w:val="20"/>
                <w:szCs w:val="20"/>
              </w:rPr>
              <w:t xml:space="preserve">Physical Destruction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Hardware media holding data that cannot be software-wiped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Shredding, degaussing, or certified third-party destruction. Evidence: Certificate of Destruction from vendor.</w:t>
            </w:r>
          </w:p>
        </w:tc>
      </w:tr>
      <w:tr>
        <w:tc>
          <w:tcPr>
            <w:tcW w:type="dxa" w:w="2200"/>
            <w:tcBorders>
              <w:top w:val="single" w:color="CCCCCC" w:sz="1"/>
              <w:left w:val="single" w:color="CCCCCC" w:sz="1"/>
              <w:bottom w:val="single" w:color="CCCCCC" w:sz="1"/>
              <w:right w:val="single" w:color="CCCCCC" w:sz="1"/>
            </w:tcBorders>
            <w:shd w:fill="D6EEF2" w:val="clear"/>
            <w:tcMar>
              <w:top w:type="dxa" w:w="80"/>
              <w:left w:type="dxa" w:w="140"/>
              <w:bottom w:type="dxa" w:w="80"/>
              <w:right w:type="dxa" w:w="140"/>
            </w:tcMar>
            <w:vAlign w:val="top"/>
          </w:tcPr>
          <w:p>
            <w:pPr>
              <w:jc w:val="left"/>
            </w:pPr>
            <w:r>
              <w:rPr>
                <w:rFonts w:ascii="Arial" w:cs="Arial" w:eastAsia="Arial" w:hAnsi="Arial"/>
                <w:b/>
                <w:bCs/>
                <w:color w:val="1A5E6B"/>
                <w:sz w:val="20"/>
                <w:szCs w:val="20"/>
              </w:rPr>
              <w:t xml:space="preserve">Legal Hold Suspension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Any data subject to active litigation or regulatory investigation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Normal retention schedules are SUSPENDED. Legal counsel issues hold notice. Data Custodian preserves all relevant data. Hold lifted only by legal counsel in writing.</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5. Retention Enforcement Process</w:t>
      </w:r>
    </w:p>
    <w:p>
      <w:pPr>
        <w:pStyle w:val="ListParagraph"/>
        <w:numPr>
          <w:ilvl w:val="0"/>
          <w:numId w:val="2"/>
        </w:numPr>
        <w:spacing w:before="40" w:after="40"/>
      </w:pPr>
      <w:r>
        <w:rPr>
          <w:rFonts w:ascii="Arial" w:cs="Arial" w:eastAsia="Arial" w:hAnsi="Arial"/>
          <w:color w:val="4A4A4A"/>
          <w:sz w:val="20"/>
          <w:szCs w:val="20"/>
        </w:rPr>
        <w:t xml:space="preserve">Data Custodian runs the retention enforcement job on the [FREQUENCY] schedule (automated where possible).</w:t>
      </w:r>
    </w:p>
    <w:p>
      <w:pPr>
        <w:pStyle w:val="ListParagraph"/>
        <w:numPr>
          <w:ilvl w:val="0"/>
          <w:numId w:val="2"/>
        </w:numPr>
        <w:spacing w:before="40" w:after="40"/>
      </w:pPr>
      <w:r>
        <w:rPr>
          <w:rFonts w:ascii="Arial" w:cs="Arial" w:eastAsia="Arial" w:hAnsi="Arial"/>
          <w:color w:val="4A4A4A"/>
          <w:sz w:val="20"/>
          <w:szCs w:val="20"/>
        </w:rPr>
        <w:t xml:space="preserve">Job identifies all records where NOW() &gt; (creation_date / trigger_event_date + retention_period).</w:t>
      </w:r>
    </w:p>
    <w:p>
      <w:pPr>
        <w:pStyle w:val="ListParagraph"/>
        <w:numPr>
          <w:ilvl w:val="0"/>
          <w:numId w:val="2"/>
        </w:numPr>
        <w:spacing w:before="40" w:after="40"/>
      </w:pPr>
      <w:r>
        <w:rPr>
          <w:rFonts w:ascii="Arial" w:cs="Arial" w:eastAsia="Arial" w:hAnsi="Arial"/>
          <w:color w:val="4A4A4A"/>
          <w:sz w:val="20"/>
          <w:szCs w:val="20"/>
        </w:rPr>
        <w:t xml:space="preserve">For SPII/PII: Privacy Officer is notified 5 business days before deletion. Privacy Officer may place a temporary hold if a legal basis exists.</w:t>
      </w:r>
    </w:p>
    <w:p>
      <w:pPr>
        <w:pStyle w:val="ListParagraph"/>
        <w:numPr>
          <w:ilvl w:val="0"/>
          <w:numId w:val="2"/>
        </w:numPr>
        <w:spacing w:before="40" w:after="40"/>
      </w:pPr>
      <w:r>
        <w:rPr>
          <w:rFonts w:ascii="Arial" w:cs="Arial" w:eastAsia="Arial" w:hAnsi="Arial"/>
          <w:color w:val="4A4A4A"/>
          <w:sz w:val="20"/>
          <w:szCs w:val="20"/>
        </w:rPr>
        <w:t xml:space="preserve">Disposal is executed using the method specified in §3.</w:t>
      </w:r>
    </w:p>
    <w:p>
      <w:pPr>
        <w:pStyle w:val="ListParagraph"/>
        <w:numPr>
          <w:ilvl w:val="0"/>
          <w:numId w:val="2"/>
        </w:numPr>
        <w:spacing w:before="40" w:after="40"/>
      </w:pPr>
      <w:r>
        <w:rPr>
          <w:rFonts w:ascii="Arial" w:cs="Arial" w:eastAsia="Arial" w:hAnsi="Arial"/>
          <w:color w:val="4A4A4A"/>
          <w:sz w:val="20"/>
          <w:szCs w:val="20"/>
        </w:rPr>
        <w:t xml:space="preserve">A Disposal Certificate is generated for all SPII, PII, and Confidential data disposals. Certificate records: data category, volume, date, method, operator, and witness.</w:t>
      </w:r>
    </w:p>
    <w:p>
      <w:pPr>
        <w:pStyle w:val="ListParagraph"/>
        <w:numPr>
          <w:ilvl w:val="0"/>
          <w:numId w:val="2"/>
        </w:numPr>
        <w:spacing w:before="40" w:after="40"/>
      </w:pPr>
      <w:r>
        <w:rPr>
          <w:rFonts w:ascii="Arial" w:cs="Arial" w:eastAsia="Arial" w:hAnsi="Arial"/>
          <w:color w:val="4A4A4A"/>
          <w:sz w:val="20"/>
          <w:szCs w:val="20"/>
        </w:rPr>
        <w:t xml:space="preserve">Disposal Certificates are retained for [N] years (retained separately from the deleted data — this is an audit record, not personal data).</w:t>
      </w:r>
    </w:p>
    <w:p>
      <w:pPr>
        <w:pStyle w:val="ListParagraph"/>
        <w:numPr>
          <w:ilvl w:val="0"/>
          <w:numId w:val="2"/>
        </w:numPr>
        <w:spacing w:before="40" w:after="40"/>
      </w:pPr>
      <w:r>
        <w:rPr>
          <w:rFonts w:ascii="Arial" w:cs="Arial" w:eastAsia="Arial" w:hAnsi="Arial"/>
          <w:color w:val="4A4A4A"/>
          <w:sz w:val="20"/>
          <w:szCs w:val="20"/>
        </w:rPr>
        <w:t xml:space="preserve">Compliance Officer is notified of completion. Annual summary reported to Data Governance Committee.</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1"/>
              <w:left w:val="single" w:color="B85C00" w:sz="1"/>
              <w:bottom w:val="single" w:color="B85C00" w:sz="1"/>
              <w:right w:val="single" w:color="B85C00" w:sz="1"/>
            </w:tcBorders>
            <w:shd w:fill="B85C00"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 WARNING</w:t>
            </w:r>
          </w:p>
        </w:tc>
        <w:tc>
          <w:tcPr>
            <w:tcW w:type="dxa" w:w="7960"/>
            <w:tcBorders>
              <w:top w:val="single" w:color="FDE9D0" w:sz="1"/>
              <w:left w:val="single" w:color="FDE9D0" w:sz="1"/>
              <w:bottom w:val="single" w:color="FDE9D0" w:sz="1"/>
              <w:right w:val="single" w:color="FDE9D0" w:sz="1"/>
            </w:tcBorders>
            <w:shd w:fill="FDE9D0" w:val="clear"/>
            <w:tcMar>
              <w:top w:type="dxa" w:w="80"/>
              <w:left w:type="dxa" w:w="140"/>
              <w:bottom w:type="dxa" w:w="80"/>
              <w:right w:type="dxa" w:w="140"/>
            </w:tcMar>
            <w:vAlign w:val="top"/>
          </w:tcPr>
          <w:p>
            <w:r>
              <w:rPr>
                <w:rFonts w:ascii="Arial" w:cs="Arial" w:eastAsia="Arial" w:hAnsi="Arial"/>
                <w:color w:val="4A4A4A"/>
                <w:sz w:val="20"/>
                <w:szCs w:val="20"/>
              </w:rPr>
              <w:t xml:space="preserve">Right to Erasure (GDPR Art. 17) requests must be completed within 30 calendar days of the verified request. This overrides normal retention schedules except where a legal hold or overriding legal obligation applies.</w:t>
            </w:r>
          </w:p>
        </w:tc>
      </w:tr>
    </w:tbl>
    <w:p>
      <w:pPr>
        <w:spacing w:before="0" w:after="0"/>
      </w:pPr>
      <w:r>
        <w:rPr>
          <w:rFonts w:ascii="Arial" w:cs="Arial" w:eastAsia="Arial" w:hAnsi="Arial"/>
          <w:sz w:val="20"/>
          <w:szCs w:val="20"/>
        </w:rPr>
        <w:t xml:space="preserve"/>
      </w:r>
    </w:p>
    <w:p>
      <w:pPr>
        <w:pStyle w:val="Heading1"/>
        <w:pBdr>
          <w:bottom w:val="single" w:color="C8952A" w:sz="8" w:space="1"/>
        </w:pBdr>
        <w:spacing w:before="360" w:after="160"/>
      </w:pPr>
      <w:r>
        <w:rPr>
          <w:rFonts w:ascii="Arial" w:cs="Arial" w:eastAsia="Arial" w:hAnsi="Arial"/>
          <w:b/>
          <w:bCs/>
          <w:color w:val="1B2A4A"/>
          <w:sz w:val="36"/>
          <w:szCs w:val="36"/>
        </w:rPr>
        <w:t xml:space="preserve">6. Roles &amp;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w:t>
            </w:r>
          </w:p>
        </w:tc>
        <w:tc>
          <w:tcPr>
            <w:tcW w:type="dxa" w:w="6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Retention &amp; Disposal Responsibility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Privacy Officer / DPO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this policy. Approves all SPII/PII disposal. Certifies anonymisation. Manages Art. 17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 Custodian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Executes automated and manual retention jobs. Generates and signs Disposal Certificates.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 Owner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Approves any extension to retention periods for their data domain. Reviews legal hold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Compliance Officer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Certifies annual retention compliance. Manages regulatory inquiries related to retention.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Legal Counsel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Issues and lifts Legal Hold notices. Advises on retention periods where statutory requirements are ambiguous.</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after="0"/>
    </w:pPr>
    <w:r>
      <w:rPr>
        <w:rFonts w:ascii="Arial" w:cs="Arial" w:eastAsia="Arial" w:hAnsi="Arial"/>
        <w:color w:val="CCCCCC"/>
        <w:sz w:val="16"/>
        <w:szCs w:val="16"/>
      </w:rPr>
      <w:t xml:space="preserve">Universal Project Document Base  ·  Template Library  ·  Replace all [BRACKETED] placeholders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6B" w:sz="4" w:space="1"/>
      </w:pBdr>
      <w:spacing w:before="0" w:after="100"/>
    </w:pPr>
    <w:r>
      <w:rPr>
        <w:rFonts w:ascii="Arial" w:cs="Arial" w:eastAsia="Arial" w:hAnsi="Arial"/>
        <w:color w:val="4A4A4A"/>
        <w:sz w:val="16"/>
        <w:szCs w:val="16"/>
      </w:rPr>
      <w:t xml:space="preserve">DATA  |  Data Retention &amp; Disposal Policy  |  DATA-[PROJECT]-RETENTION-[DATE]-01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2026-03-22T07:51:48.102Z</dcterms:created>
  <dcterms:modified xsi:type="dcterms:W3CDTF">2026-03-22T07:51:48.102Z</dcterms:modified>
</cp:coreProperties>
</file>

<file path=docProps/custom.xml><?xml version="1.0" encoding="utf-8"?>
<Properties xmlns="http://schemas.openxmlformats.org/officeDocument/2006/custom-properties" xmlns:vt="http://schemas.openxmlformats.org/officeDocument/2006/docPropsVTypes"/>
</file>