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20"/>
          <w:szCs w:val="20"/>
        </w:rPr>
        <w:t xml:space="preserve"/>
      </w:r>
    </w:p>
    <w:p>
      <w:pPr>
        <w:spacing w:before="0" w:after="80"/>
        <w:jc w:val="center"/>
      </w:pPr>
      <w:r>
        <w:rPr>
          <w:rFonts w:ascii="Arial" w:cs="Arial" w:eastAsia="Arial" w:hAnsi="Arial"/>
          <w:b/>
          <w:bCs/>
          <w:color w:val="4B2E83"/>
          <w:sz w:val="28"/>
          <w:szCs w:val="28"/>
        </w:rPr>
        <w:t xml:space="preserve">META GOVERNANCE</w:t>
      </w:r>
    </w:p>
    <w:p>
      <w:pPr>
        <w:spacing w:before="0" w:after="40"/>
        <w:jc w:val="center"/>
      </w:pPr>
      <w:r>
        <w:rPr>
          <w:rFonts w:ascii="Arial" w:cs="Arial" w:eastAsia="Arial" w:hAnsi="Arial"/>
          <w:b/>
          <w:bCs/>
          <w:color w:val="1B2A4A"/>
          <w:sz w:val="64"/>
          <w:szCs w:val="64"/>
        </w:rPr>
        <w:t xml:space="preserve">Artifact-to-DocBase
Traceability Report</w:t>
      </w:r>
    </w:p>
    <w:p>
      <w:pPr>
        <w:spacing w:before="0" w:after="280"/>
        <w:jc w:val="center"/>
      </w:pPr>
      <w:r>
        <w:rPr>
          <w:rFonts w:ascii="Arial" w:cs="Arial" w:eastAsia="Arial" w:hAnsi="Arial"/>
          <w:color w:val="C8952A"/>
          <w:sz w:val="28"/>
          <w:szCs w:val="28"/>
        </w:rPr>
        <w:t xml:space="preserve">META-GLOBAL-TRACE</w:t>
      </w:r>
    </w:p>
    <w:p>
      <w:pPr>
        <w:spacing w:before="0" w:after="60"/>
        <w:jc w:val="center"/>
      </w:pPr>
      <w:r>
        <w:rPr>
          <w:rFonts w:ascii="Arial" w:cs="Arial" w:eastAsia="Arial" w:hAnsi="Arial"/>
          <w:color w:val="CCCCCC"/>
          <w:sz w:val="24"/>
          <w:szCs w:val="24"/>
        </w:rPr>
        <w:t xml:space="preserv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META-GLOBAL-TRACE-01</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1.0</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DRAFT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Project</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[PROJECT]</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Effective Date</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r>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Next Review</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top"/>
          </w:tcPr>
          <w:p>
            <w:pPr>
              <w:jc w:val="left"/>
            </w:pPr>
            <w:r>
              <w:rPr>
                <w:rFonts w:ascii="Arial" w:cs="Arial" w:eastAsia="Arial" w:hAnsi="Arial"/>
                <w:color w:val="4A4A4A"/>
                <w:sz w:val="20"/>
                <w:szCs w:val="20"/>
              </w:rPr>
              <w:t xml:space="preserve">[YYYY-MM-DD]</w:t>
            </w:r>
          </w:p>
        </w:tc>
      </w:tr>
    </w:tbl>
    <w:p>
      <w:pPr>
        <w:spacing w:before="60" w:after="0"/>
      </w:pPr>
      <w:r>
        <w:rPr>
          <w:sz w:val="20"/>
          <w:szCs w:val="20"/>
        </w:rPr>
        <w:t xml:space="preserve"/>
      </w:r>
    </w:p>
    <w:p>
      <w:pPr>
        <w:spacing w:before="0" w:after="60"/>
        <w:jc w:val="center"/>
      </w:pPr>
      <w:r>
        <w:rPr>
          <w:rFonts w:ascii="Arial" w:cs="Arial" w:eastAsia="Arial" w:hAnsi="Arial"/>
          <w:color w:val="CCCCCC"/>
          <w:sz w:val="24"/>
          <w:szCs w:val="24"/>
        </w:rPr>
        <w:t xml:space="preserve">─────────────────────────────────────────────</w:t>
      </w:r>
    </w:p>
    <w:p>
      <w:pPr>
        <w:jc w:val="center"/>
      </w:pPr>
      <w:r>
        <w:rPr>
          <w:rFonts w:ascii="Arial" w:cs="Arial" w:eastAsia="Arial" w:hAnsi="Arial"/>
          <w:color w:val="CCCCCC"/>
          <w:sz w:val="18"/>
          <w:szCs w:val="18"/>
        </w:rPr>
        <w:t xml:space="preserve">Universal Project Document Base  ·  Phase 2 — Template Library</w:t>
      </w:r>
    </w:p>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ID</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META-GLOBAL-TRACE-01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Universal DocBase — Artifact-to-Template Traceability Report</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2.0 (includes T19–T31 additions)</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APPROVED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Internal</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[DocBase Build Process — auto-generated]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Approved By</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 Director / Head of Engineering — [YYYY-MM-DD]</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Total Source Artefacts Traced</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91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Total Target Templates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31 templates + 2 META documents = 33 governed outputs</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DocBase 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Universal DocBase v2.0</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Linked Documents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META-GLOBAL-FRAMEWORK-01, META-GLOBAL-INDEX-01, All T01–T31</w:t>
            </w:r>
          </w:p>
        </w:tc>
      </w:tr>
      <w:tr>
        <w:tc>
          <w:tcPr>
            <w:tcW w:type="dxa" w:w="234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Purpose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Demonstrates complete traceability from every source project artefact to its governing DocBase template, proving no artefact is unowned and no template gap exists.</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2. Executive Summary Dashboard</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ℹ NOTE</w:t>
            </w:r>
          </w:p>
        </w:tc>
        <w:tc>
          <w:tcPr>
            <w:tcW w:type="dxa" w:w="7960"/>
            <w:tcBorders>
              <w:top w:val="single" w:color="D6E4F7" w:sz="1"/>
              <w:left w:val="single" w:color="D6E4F7" w:sz="1"/>
              <w:bottom w:val="single" w:color="D6E4F7" w:sz="1"/>
              <w:right w:val="single" w:color="D6E4F7" w:sz="1"/>
            </w:tcBorders>
            <w:shd w:fill="D6E4F7" w:val="clear"/>
            <w:tcMar>
              <w:top w:type="dxa" w:w="80"/>
              <w:left w:type="dxa" w:w="140"/>
              <w:bottom w:type="dxa" w:w="80"/>
              <w:right w:type="dxa" w:w="140"/>
            </w:tcMar>
            <w:vAlign w:val="top"/>
          </w:tcPr>
          <w:p>
            <w:r>
              <w:rPr>
                <w:rFonts w:ascii="Arial" w:cs="Arial" w:eastAsia="Arial" w:hAnsi="Arial"/>
                <w:color w:val="4A4A4A"/>
                <w:sz w:val="20"/>
                <w:szCs w:val="20"/>
              </w:rPr>
              <w:t xml:space="preserve">Total source artefacts traced: 91  |  All artefacts are owned by at least one template  |  Zero orphaned artefacts</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2.1 Coverage by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1100"/>
        <w:gridCol w:w="2800"/>
        <w:gridCol w:w="2400"/>
        <w:gridCol w:w="1060"/>
      </w:tblGrid>
      <w:tr>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Folder</w:t>
            </w:r>
          </w:p>
        </w:tc>
        <w:tc>
          <w:tcPr>
            <w:tcW w:type="dxa" w:w="7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Domain</w:t>
            </w:r>
          </w:p>
        </w:tc>
        <w:tc>
          <w:tcPr>
            <w:tcW w:type="dxa" w:w="11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Templates</w:t>
            </w:r>
          </w:p>
        </w:tc>
        <w:tc>
          <w:tcPr>
            <w:tcW w:type="dxa" w:w="2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Templates Contained</w:t>
            </w:r>
          </w:p>
        </w:tc>
        <w:tc>
          <w:tcPr>
            <w:tcW w:type="dxa" w:w="2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Artefacts Mapped</w:t>
            </w:r>
          </w:p>
        </w:tc>
        <w:tc>
          <w:tcPr>
            <w:tcW w:type="dxa" w:w="10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Artefact Count</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PM</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T01 Charter, T02 Status, T03 Closure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SRS, T05 UAC, T06 SysRS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11</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ARCH</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HLD, T08 ADR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T29 Coding Std, T30 CI/CD Std, T31 History Log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9</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MTP, T13 QA Plan, T14 Risk Register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11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T15 QC Report, T16 Bug Report, T17 Cycle, T18 Release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8</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GRC</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T09 Security, T10 Compliance, T27 DPIA, T28 Vendor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12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QMS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T11 Standard, T25 RBAC, T26 Change Mgmt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7</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DATA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T19 Gov Framework, T20 Dictionary, T21 Retention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7</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T22 Master Naming, T23 DB Naming, T24 API Std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5</w:t>
            </w:r>
          </w:p>
        </w:tc>
      </w:tr>
      <w:tr>
        <w:tc>
          <w:tcPr>
            <w:tcW w:type="dxa" w:w="14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00-META</w:t>
            </w:r>
          </w:p>
        </w:tc>
        <w:tc>
          <w:tcPr>
            <w:tcW w:type="dxa" w:w="7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w:t>
            </w:r>
          </w:p>
        </w:tc>
        <w:tc>
          <w:tcPr>
            <w:tcW w:type="dxa" w:w="1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A4A4A"/>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Framework Constitution, DocBase Index</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[See §4 matrix for full list]</w:t>
            </w:r>
          </w:p>
        </w:tc>
        <w:tc>
          <w:tcPr>
            <w:tcW w:type="dxa" w:w="106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2</w:t>
            </w:r>
          </w:p>
        </w:tc>
      </w:tr>
      <w:tr>
        <w:tc>
          <w:tcPr>
            <w:tcW w:type="dxa" w:w="1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TOTAL</w:t>
            </w:r>
          </w:p>
        </w:tc>
        <w:tc>
          <w:tcPr>
            <w:tcW w:type="dxa" w:w="7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left"/>
            </w:pPr>
            <w:r>
              <w:rPr>
                <w:rFonts w:ascii="Arial" w:cs="Arial" w:eastAsia="Arial" w:hAnsi="Arial"/>
                <w:color w:val="FFFFFF"/>
                <w:sz w:val="20"/>
                <w:szCs w:val="20"/>
              </w:rPr>
              <w:t xml:space="preserve">11 domains</w:t>
            </w:r>
          </w:p>
        </w:tc>
        <w:tc>
          <w:tcPr>
            <w:tcW w:type="dxa" w:w="11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31</w:t>
            </w:r>
          </w:p>
        </w:tc>
        <w:tc>
          <w:tcPr>
            <w:tcW w:type="dxa" w:w="28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left"/>
            </w:pPr>
            <w:r>
              <w:rPr>
                <w:rFonts w:ascii="Arial" w:cs="Arial" w:eastAsia="Arial" w:hAnsi="Arial"/>
                <w:color w:val="FFFFFF"/>
                <w:sz w:val="20"/>
                <w:szCs w:val="20"/>
              </w:rPr>
              <w:t xml:space="preserve">+ 2 META = 33 governed outputs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left"/>
            </w:pPr>
            <w:r>
              <w:rPr>
                <w:rFonts w:ascii="Arial" w:cs="Arial" w:eastAsia="Arial" w:hAnsi="Arial"/>
                <w:color w:val="FFFFFF"/>
                <w:sz w:val="20"/>
                <w:szCs w:val="20"/>
              </w:rPr>
              <w:t xml:space="preserve">All source artefacts traced</w:t>
            </w:r>
          </w:p>
        </w:tc>
        <w:tc>
          <w:tcPr>
            <w:tcW w:type="dxa" w:w="106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vAlign w:val="top"/>
          </w:tcPr>
          <w:p>
            <w:pPr>
              <w:jc w:val="center"/>
            </w:pPr>
            <w:r>
              <w:rPr>
                <w:rFonts w:ascii="Arial" w:cs="Arial" w:eastAsia="Arial" w:hAnsi="Arial"/>
                <w:b/>
                <w:bCs/>
                <w:color w:val="FFFFFF"/>
                <w:sz w:val="20"/>
                <w:szCs w:val="20"/>
              </w:rPr>
              <w:t xml:space="preserve">91</w:t>
            </w:r>
          </w:p>
        </w:tc>
      </w:tr>
    </w:tbl>
    <w:p>
      <w:r>
        <w:br w:type="page"/>
      </w:r>
    </w:p>
    <w:p>
      <w:pPr>
        <w:pStyle w:val="Heading2"/>
        <w:spacing w:before="280" w:after="120"/>
      </w:pPr>
      <w:r>
        <w:rPr>
          <w:rFonts w:ascii="Arial" w:cs="Arial" w:eastAsia="Arial" w:hAnsi="Arial"/>
          <w:b/>
          <w:bCs/>
          <w:color w:val="2E5FA3"/>
          <w:sz w:val="28"/>
          <w:szCs w:val="28"/>
        </w:rPr>
        <w:t xml:space="preserve">2.2 Mapping Pattern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Pattern</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Count</w:t>
            </w:r>
          </w:p>
        </w:tc>
        <w:tc>
          <w:tcPr>
            <w:tcW w:type="dxa" w:w="5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Definition &amp; Examples</w:t>
            </w:r>
          </w:p>
        </w:tc>
      </w:tr>
      <w:tr>
        <w:tc>
          <w:tcPr>
            <w:tcW w:type="dxa" w:w="20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Direct (1:1)</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~55 artefacts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Source artefact maps directly to the governing template. Structure preserved and enhanced. Examples: SRS → T04, Master Test Plan → T12, Security Framework → T09.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Merged (N:1)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~35 artefacts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Multiple source artefacts consolidated into one template. Eliminates duplication. Examples: BRD + Functional Spec + Use Cases → T04 SRS; UAT Sign-Off + Test Summary → T15 QC Report.</w:t>
            </w:r>
          </w:p>
        </w:tc>
      </w:tr>
      <w:tr>
        <w:tc>
          <w:tcPr>
            <w:tcW w:type="dxa" w:w="20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Elevated (1:1 upgrade)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~25 artefacts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Source artefact elevated from informal artefact to governed standard/policy. Examples: Naming Convention Guide → T22 Standard; Access Control Policy → T25 RBAC Standard; Dev Log.xlsx → T31 History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Absorbed (N:M)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~20 artefacts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Source content absorbed into a section of a broader template. Examples: Non-Functional Requirements → SRS §4; BCP → SysRS §7; Release Notes → T31 §10.</w:t>
            </w:r>
          </w:p>
        </w:tc>
      </w:tr>
      <w:tr>
        <w:tc>
          <w:tcPr>
            <w:tcW w:type="dxa" w:w="2000"/>
            <w:tcBorders>
              <w:top w:val="single" w:color="CCCCCC" w:sz="1"/>
              <w:left w:val="single" w:color="CCCCCC" w:sz="1"/>
              <w:bottom w:val="single" w:color="CCCCCC" w:sz="1"/>
              <w:right w:val="single" w:color="CCCCCC" w:sz="1"/>
            </w:tcBorders>
            <w:shd w:fill="EDE8F5"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Split (1:N)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center"/>
            </w:pPr>
            <w:r>
              <w:rPr>
                <w:rFonts w:ascii="Arial" w:cs="Arial" w:eastAsia="Arial" w:hAnsi="Arial"/>
                <w:b/>
                <w:bCs/>
                <w:color w:val="4B2E83"/>
                <w:sz w:val="20"/>
                <w:szCs w:val="20"/>
              </w:rPr>
              <w:t xml:space="preserve">~4 artefacts</w:t>
            </w:r>
          </w:p>
        </w:tc>
        <w:tc>
          <w:tcPr>
            <w:tcW w:type="dxa" w:w="5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Source artefact split across multiple templates where content served different governance purposes. Examples: Glossary/Data Dictionary → SRS Appendix + T20 Data Dictionary; GDPR Assessment → T27 DPIA + T10 Compliance Matrix.</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3. New Folder Additions — Gap Coverage Proof</w:t>
      </w:r>
    </w:p>
    <w:p>
      <w:pPr>
        <w:spacing w:before="120" w:after="120"/>
        <w:jc w:val="left"/>
      </w:pPr>
      <w:r>
        <w:rPr>
          <w:rFonts w:ascii="Arial" w:cs="Arial" w:eastAsia="Arial" w:hAnsi="Arial"/>
          <w:color w:val="4A4A4A"/>
          <w:sz w:val="22"/>
          <w:szCs w:val="22"/>
        </w:rPr>
        <w:t xml:space="preserve">The following table maps the specific governance gaps that existed before v2.0 to the new folders and templates that close each gap. This demonstrates that no identified gap remains unaddressed.</w:t>
      </w:r>
    </w:p>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1200"/>
        <w:gridCol w:w="3360"/>
      </w:tblGrid>
      <w:tr>
        <w:tc>
          <w:tcPr>
            <w:tcW w:type="dxa" w:w="12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Gap ID</w:t>
            </w:r>
          </w:p>
        </w:tc>
        <w:tc>
          <w:tcPr>
            <w:tcW w:type="dxa" w:w="22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Governance Gap (pre-v2.0)</w:t>
            </w:r>
          </w:p>
        </w:tc>
        <w:tc>
          <w:tcPr>
            <w:tcW w:type="dxa" w:w="14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New Folder</w:t>
            </w:r>
          </w:p>
        </w:tc>
        <w:tc>
          <w:tcPr>
            <w:tcW w:type="dxa" w:w="12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Template(s)</w:t>
            </w:r>
          </w:p>
        </w:tc>
        <w:tc>
          <w:tcPr>
            <w:tcW w:type="dxa" w:w="336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How the Gap Is Closed</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GAP-01</w:t>
            </w:r>
          </w:p>
        </w:tc>
        <w:tc>
          <w:tcPr>
            <w:tcW w:type="dxa" w:w="2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 governed policy for how data is owned, classified, or managed across the project. Data Dictionary was an informal Excel file with no PII classification or legal basis tracking.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T19, T20, T21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T19 defines governance roles, classification tiers, and quality framework. T20 is the field-level classification register with SPII/PII/encryption/legal basis columns. T21 defines retention periods, disposal methods, and GDPR Art. 17 SLAs.</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Naming conventions existed as informal guides with no enforcement mechanism. No single source of truth for code, database, API, file, branch, commit, environment, or cloud resource naming.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T22, T23, T24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T22 is the master naming standard for all code and file contexts with MUST/MUST NOT rules and Conventional Commits adoption. T23 is the dedicated DB standard covering tables, columns, constraints, views, and schema namespaces. T24 is the API standard covering URL design, HTTP methods, error schemas, and versioning policy.</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GAP-03</w:t>
            </w:r>
          </w:p>
        </w:tc>
        <w:tc>
          <w:tcPr>
            <w:tcW w:type="dxa" w:w="2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 formal RBAC standard — roles and permissions existed in code and wikis but were not governed. Access rights audits had no documented basis.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T25 defines role hierarchy (L1–L5), full role definitions, permission matrix covering all resource types, and access provisioning/deprovisioning SLAs including 4-hour offboarding.</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Change management was informal. No CAB structure, no mandatory CR fields, no change freeze policy. Changes could reach production without documented rollback plans or test evidence.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T26 defines Standard/Normal/Emergency/Rejected change classification, 15-field mandatory CR schema, CAB composition and quorum, and change freeze periods.</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GAP-05</w:t>
            </w:r>
          </w:p>
        </w:tc>
        <w:tc>
          <w:tcPr>
            <w:tcW w:type="dxa" w:w="2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GDPR Article 35 DPIA not performed. No formal assessment of processing risks, necessity &amp; proportionality, or data subject rights implementation.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T27</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T27 is a full GDPR Art. 35 DPIA template covering processing description, necessity assessment, risk table, rights implementation matrix (Art. 15–21), and DPO consultation sign-off.</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 formal vendor due diligence process. Third-party processors accessed PII/SPII data without documented DPA verification, security certification review, or risk rating.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T28</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T28 defines a vendor register, 10-item due diligence checklist (ISO 27001, SOC 2, DPA, breach notification SLA, sub-processors, data residency, pen tests, BCP, offboarding, financial health), and formal risk rating and approval decision.</w:t>
            </w:r>
          </w:p>
        </w:tc>
      </w:tr>
      <w:tr>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6"/>
                <w:szCs w:val="16"/>
              </w:rPr>
              <w:t xml:space="preserve">GAP-07</w:t>
            </w:r>
          </w:p>
        </w:tc>
        <w:tc>
          <w:tcPr>
            <w:tcW w:type="dxa" w:w="2200"/>
            <w:tcBorders>
              <w:top w:val="single" w:color="CCCCCC" w:sz="1"/>
              <w:left w:val="single" w:color="CCCCCC" w:sz="1"/>
              <w:bottom w:val="single" w:color="CCCCCC" w:sz="1"/>
              <w:right w:val="single" w:color="CCCCCC" w:sz="1"/>
            </w:tcBorders>
            <w:shd w:fill="FAE0E0"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04-DEV folder was empty. No governing standard for how code is written, tested, reviewed, or deployed. Developer onboarding had no authoritative reference.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1B2A4A"/>
                <w:sz w:val="20"/>
                <w:szCs w:val="20"/>
              </w:rPr>
              <w:t xml:space="preserve">T29, T30, T31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T29 defines 30+ code quality and security coding MUST/MUST NOT rules, testing requirements (AAA, coverage gate), and code review standards. T30 defines the 8-stage CI/CD pipeline with quality gates, environment promotion rules, and deployment strategies. T31 is the append-only development audit trail covering all releases, merges, incidents, ADRs, config changes, and security events.</w:t>
            </w:r>
          </w:p>
        </w:tc>
      </w:tr>
    </w:tbl>
    <w:p>
      <w:r>
        <w:br w:type="page"/>
      </w:r>
    </w:p>
    <w:p>
      <w:pPr>
        <w:pStyle w:val="Heading1"/>
        <w:pBdr>
          <w:bottom w:val="single" w:color="C8952A" w:sz="8" w:space="1"/>
        </w:pBdr>
        <w:spacing w:before="360" w:after="160"/>
      </w:pPr>
      <w:r>
        <w:rPr>
          <w:rFonts w:ascii="Arial" w:cs="Arial" w:eastAsia="Arial" w:hAnsi="Arial"/>
          <w:b/>
          <w:bCs/>
          <w:color w:val="1B2A4A"/>
          <w:sz w:val="36"/>
          <w:szCs w:val="36"/>
        </w:rPr>
        <w:t xml:space="preserve">4. Full Artifact-to-Template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 GUIDANCE</w:t>
            </w:r>
          </w:p>
        </w:tc>
        <w:tc>
          <w:tcPr>
            <w:tcW w:type="dxa" w:w="7960"/>
            <w:tcBorders>
              <w:top w:val="single" w:color="D6EFE1" w:sz="1"/>
              <w:left w:val="single" w:color="D6EFE1" w:sz="1"/>
              <w:bottom w:val="single" w:color="D6EFE1" w:sz="1"/>
              <w:right w:val="single" w:color="D6EFE1" w:sz="1"/>
            </w:tcBorders>
            <w:shd w:fill="D6EFE1" w:val="clear"/>
            <w:tcMar>
              <w:top w:type="dxa" w:w="80"/>
              <w:left w:type="dxa" w:w="140"/>
              <w:bottom w:type="dxa" w:w="80"/>
              <w:right w:type="dxa" w:w="140"/>
            </w:tcMar>
            <w:vAlign w:val="top"/>
          </w:tcPr>
          <w:p>
            <w:r>
              <w:rPr>
                <w:rFonts w:ascii="Arial" w:cs="Arial" w:eastAsia="Arial" w:hAnsi="Arial"/>
                <w:color w:val="4A4A4A"/>
                <w:sz w:val="20"/>
                <w:szCs w:val="20"/>
              </w:rPr>
              <w:t xml:space="preserve">One row per source artefact. Sorted by source domain. For artefacts with Mapping Pattern = Merged or Absorbed, the target template is the single governing document that owns that content.</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4.1 PM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Project_Charter_Template.docx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T01 PM Project Charter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Charter structure preserved 1:1. Scope table, stakeholder register, and milestone table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Project_Initiation_Document.docx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T01 PM Project Charter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Charter. PID concept absorbed — authorization + scope + stakeholders unified under Charter.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Project_Status_Report_Template.docx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T02 PM Status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RAG status model retained. Budget and risk summary sections 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Weekly_Progress_Report.docx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T02 PM Status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Status Report. Weekly cadence is a usage decision, not a separate template.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Project_Closure_Report.docx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T03 PM Closure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Objectives achievement and lessons learned tables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Post_Implementation_Review.docx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T03 PM Closure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Closure Report. PIR section is §5 of the Closure Report.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RACI_Matrix_Template.xlsx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T01 PM Project Charter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Charter §6 (Stakeholder Register). RACI embedded as sub-table.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Stakeholder_Register_Template.xlsx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T01 PM Project Charter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Charter §6. Stakeholder register is a mandatory Charter section.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Meeting_Minutes_Template.docx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T02 PM Status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Meeting minutes are operational artefacts, not governed templates. Captured as Decisions Required in Status Report.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Change_Request_Form.docx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T26 QMS Change Management Std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form to standard. Change Request fields are mandatory in §3 of T26. Form is generated from standard.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Issue_Log_Template.xlsx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T02 PM Status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Issue tracking is a PM operational artefact embedded in Status Report §7. Major issues escalated to QA-RISK.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Action_Log_Template.xlsx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T02 PM Status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Actions tracked within Status Report. Open actions surface as Decisions Required.</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4.2 BA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Software_Requirements_Specification.docx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FR/NFR table structure and module decomposition retained. Testability rules 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Business_Requirements_Document.docx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SRS. BRD is a precursor document; its content maps to SRS §3–4. Business rules (BR-NNN) absorbed.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Functional_Specification.docx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SRS. Functional spec content becomes §3 Functional 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User_Acceptance_Criteria.docx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T05 BA UAC</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Given/When/Then structure standardized. P1/P2/P3 priority tiers and UAT sign-off gateway added.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UAT_Test_Cases.xlsx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Artefact</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T05 BA UAC</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UAC. UAC and UAT test cases unified — UAC table IS the UAT test case 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System_Requirements_Specification.docx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T06 BA SysRS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Hardware, software, performance, and DR specifications preserved.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Non_Functional_Requirements.docx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SRS §4 (NFR-NNN table). NFRs are a section of the SRS, not a separate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Glossary_Data_Dictionary.xlsx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Reference</w:t>
            </w:r>
          </w:p>
        </w:tc>
        <w:tc>
          <w:tcPr>
            <w:tcW w:type="dxa" w:w="8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Split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T20 Data Dictionary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Split and elevated. Glossary terms remain in SRS Appendix. Field-level data dictionary elevated to governed T20 with classification, encryption, and legal basis columns.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Process_Flow_Diagrams.vsdx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Diagram</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Embedded as referenced diagrams in SRS §3. Visio source files stored in project repo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Use_Case_Document.docx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Specification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SRS §3. Use cases become FR-NNN entries with actor and trigger columns.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Gap_Analysis_Report.docx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Analysis</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T04 BA SRS</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Gap findings become requirements in SRS. Gap analysis is a discovery artefact; its outputs are the requirements.</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4.3 ARCH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High_Level_Design_Document.docx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Design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Architecture pattern, component model, data design, and deployment strategy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Solution_Architecture_Document.docx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Design</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HLD. SAD is an alternative name for the same artefact.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Technical_Architecture_Overview.pptx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Presentation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Converted to HLD §2 (Architecture Overview). Diagrams embedded. Slide deck retained as presentation asset, not governed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Architecture_Decision_Record_001.docx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T08 ADR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Context/Options/Decision/Consequences structure standardized. One ADR per decision enforced.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Architecture_Decision_Record_002.docx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T08 ADR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second ADR instance.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Architecture_Decision_Record_003.docx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ADR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T08 ADR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third ADR instance.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Low_Level_Design.docx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Design</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HLD §3 (System Components). LLD detail moves to code-level documentation (README, JSDoc). Not a separate governed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Database_Schema_ERD.pdf</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Diagram</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T20 Data Dictionary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ERD is a visual aid; its entity and field definitions are the source input for T20 Data Dictionary. ERD stored as ARCH asset.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Integration_Architecture.docx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Design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HLD §6 (Integration Architecture). External integration table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Infrastructure_Design.docx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Design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03-ARCH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T07 ARCH HLD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HLD §7 (Deployment Architecture). Environment strategy table standardized.</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4.4 DEV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Coding_Standards_Guide.docx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Standard</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T29 DEV Coding Standard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Security coding rules, testing requirements, and code review standards added and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Development_Best_Practices.docx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Guideline</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T29 DEV Coding Standard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T29. Best practices elevated to enforceable standard rules.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Git_Branching_Strategy.md</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Standard</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T22 Master Naming Convention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T22 §5 (Branch Naming + Commit Convention). Conventional Commits standard adopted.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Deployment_Runbook.docx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Runbook</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T30 DEV CI/CD Std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runbook to standard. 8-stage pipeline + deployment strategy + environment promotion gates defined.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CI_CD_Pipeline_Documentation.docx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Documentation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T30 DEV CI/CD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Pipeline stages formalized. Security and quality gate requirements made explicit.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Change_Management_Process.docx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Process</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T26 QMS Change Management Std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to QMS standard. CAB structure, CR mandatory fields, and change classification matrix added.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Release_Notes_Template.docx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T31 DEV History Complete Log</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T31 §10 (Release Summary Dashboard). Release notes content moves into the governed history log.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Development_Log.xlsx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Log</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T31 DEV History Complete Log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Elevated from ad-hoc spreadsheet to governed append-only log with typed entry schema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Hotfix_Record.docx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Log</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04-DEV</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T31 DEV History Complete Log</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T31 §4 (HOTFIX entries) and §8 (Configuration Change Log). Hotfix pattern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Sprint_Retrospective.docx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Retrospective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T03 PM Closure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Sprint retros are operational artefacts. Key lessons aggregated into T03 §5 (Lessons Learned) at project closure.</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4.5 QA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Master_Test_Plan.docx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Plan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Test levels, defect severity classification, and release decision criteria preserved and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Test_Strategy_Document.docx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Strategy</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T13 QA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QA Plan. Test strategy is §2–4 of T13.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Quality_Assurance_Plan.docx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T13 QA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Shift-left approach, quality objectives, and standards compliance sections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Test_Cases_Functional.xlsx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Artefact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cases are execution artefacts referenced from T12. Template defines the structure; cases are stored in test management tool.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Test_Cases_Regression.xlsx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Artefact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Regression suite referenced from T12 §7 (Test Schedule). Regression scope defined in T12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Performance_Test_Plan.docx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Plan</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T12 §2 (Test Levels: Performance row). Performance test threshold from BA-SYSRS.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Security_Test_Plan.docx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Test Plan</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T12 §2 (Test Levels: Security row). OWASP ASVS reference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Risk_Register.xlsx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T14 QA Risk Register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Likelihood × Impact scoring matrix standardized. 7 pre-populated risk categories added.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Risk_Assessment.docx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Assessment</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T14 QA Risk Register</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T14. Risk assessment content becomes the risk register entries.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Compliance_Checklist.xlsx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Checklist</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T10 GRC Compliance Matrix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checklist to full compliance matrix with ISO 27001/GDPR/OWASP/ISO 9001 clause-level mapping and evidence references.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Test_Environment_Setup.docx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Documentation</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T12 QA Master Test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T12 §4 (Test Environment Requirements). Environment specs standardized.</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4.6 QC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QA_Sign_Off_Report.docx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T15 QC Quality Control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GO/NO-GO decision, test execution summary, defect summary, and ISO 25010 quality assessment preserved.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Test_Execution_Report.docx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T17 QC Test Cycle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T17. Test execution report becomes the cycle report with exit criteria status.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Sprint_Test_Report.docx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T17 QC Test Cycle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sprint-level instance of T17.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Bug_Report_Template.docx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T16 QC Defect Bug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Root cause analysis section and regression risk assessment added.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Defect_Log.xlsx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T16 QC Defect Bug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T16 is the per-defect governed document. Defect log / tracker is the operational artefact in the test management tool.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Release_Readiness_Checklist.xlsx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Checklist</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T18 QC Release Readiness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checklist to governed 11-gate Release Readiness Report with multi-party signatures.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UAT_Sign_Off.docx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Sign-Off</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T15 QC Quality Control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T15. UAT sign-off is the GO decision signed by QA Director + Product Owner.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Test_Summary_Report.docx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T15 QC Quality Control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T15 §3 (Test Execution Summary). Summary is a section of the GO/NO-GO report.</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4.7 GRC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A82B2B" w:sz="1"/>
              <w:left w:val="single" w:color="A82B2B" w:sz="1"/>
              <w:bottom w:val="single" w:color="A82B2B" w:sz="1"/>
              <w:right w:val="single" w:color="A82B2B" w:sz="1"/>
            </w:tcBorders>
            <w:shd w:fill="A82B2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Security_Policy.docx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Policy</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T09 GRC Security Compendium</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T09. Security principles, governance frameworks, IAM model, and incident response lifecycle consolidated.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Information_Security_Framework.docx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Framework</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T09 GRC Security Compendium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primary source for T09. NIST CSF, ISO 27001, OWASP ASVS references standardized.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Data_Classification_Policy.docx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Policy</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T19 Data Governance Framework</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T19 §4 (Data Classification). 5-tier classification with storage/access/retention rules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Privacy_Policy.docx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Policy</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T27 GRC Privacy Impact Assessment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Privacy policy is a public-facing document. Its data processing details feed T27 (DPIA) §2 (Processing 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GDPR_Compliance_Assessment.docx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Assessment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T27 GRC Privacy Impact Assessment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primary source for T27. GDPR Art. 35 DPIA structure, necessity &amp; proportionality, and data subject rights assessment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Data_Processing_Agreement_Template.docx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Template</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T28 GRC Vendor Third-Party Risk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T28 due diligence checklist (DD-01). DPA is a contract, not a DocBase template. Referenced as evidence in vendor assessment.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Vendor_Assessment_Questionnaire.docx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Questionnaire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T28 GRC Vendor Third-Party Risk</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elevated to 10-item due diligence checklist in T28 §3.2. ISO 27001, SOC 2, pen test results, BCP review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Incident_Response_Plan.docx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T09 GRC Security Compendium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T09 §6 (Incident Response). Severity P1-P3 and 6-step lifecycle standardized.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Access_Control_Policy.docx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Policy</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T25 QMS RBAC Access Control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policy to standard. Full role definitions, permission matrix, and provisioning SLAs added.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Penetration_Test_Report.docx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T28 GRC Vendor Third-Party Risk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Pen test reports are evidence artefacts. Referenced in T28 DD-07 and as security events in T31 §9.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ISO_27001_Gap_Assessment.xlsx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Assessment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T10 GRC Compliance Matrix</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ISO 27001 column in T10. Gap findings become T10 compliance matrix rows with PARTIAL/GAP status.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Business_Continuity_Plan.docx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02-BA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T06 BA SysRS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BCP/DR requirements absorbed into SysRS §7 (Disaster Recovery). RTO/RPO and failover strategy standardized.</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4.8 QMS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Document_Control_Procedure.docx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Procedure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00-META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 Framework Constitution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primary source for the Framework Constitution. Document ID taxonomy, lifecycle, and authority model standardized.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Document_Register.xlsx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4B2E83" w:sz="1"/>
              <w:left w:val="single" w:color="4B2E83" w:sz="1"/>
              <w:bottom w:val="single" w:color="4B2E83" w:sz="1"/>
              <w:right w:val="single" w:color="4B2E83" w:sz="1"/>
            </w:tcBorders>
            <w:shd w:fill="4B2E8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Elevated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00-META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META DocBase Index</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Elevated from register to governed Master Index. All 32 templates with dependency chains and cross-reference matrix.</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Quality_Management_Plan.docx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05-QA</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T13 QA Plan</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QA Plan §3–4. Quality management objectives and standards compliance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Process_Improvement_Log.xlsx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Log</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01-PM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T03 PM Closure Report</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Process improvements are a retrospective artefact. Key improvements aggregated into T03 §5 (Lessons Learned).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Training_Records.xlsx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Record</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T25 QMS RBAC Access Control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Training verification is an access control requirement. New role assignments require verified training completion per T25 §5 (Provisioning).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Audit_Schedule.xlsx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Schedule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08-QMS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T26 QMS Change Management Std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Audit schedule is a governance cadence item. Annual framework reviews are defined in T19 §7 (Governance Cadence) and T26 §4 (CAB Cadence).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Non_Conformance_Report.docx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Report</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06-QC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T16 QC Defect Bug Report</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Non-conformances are defects. T16 is the governed defect record. QMS-level non-conformances additionally trigger T14 (Risk Register) updates.</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4.9 DATA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1A5E6B" w:sz="1"/>
              <w:left w:val="single" w:color="1A5E6B" w:sz="1"/>
              <w:bottom w:val="single" w:color="1A5E6B" w:sz="1"/>
              <w:right w:val="single" w:color="1A5E6B" w:sz="1"/>
            </w:tcBorders>
            <w:shd w:fill="1A5E6B"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Data_Governance_Policy.docx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Policy</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T19 Data Governance Framework</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primary source for T19. Data ownership, stewardship, quality dimensions, and governance cadence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Data_Inventory.xlsx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T20 Data Dictionary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elevated to field-level classification register with PII/SPII classification, encryption requirements, and GDPR legal basis columns.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PII_Register.xlsx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Register</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T20 Data Dictionary</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T20 §4 (PII/SPII Field Summary). PII register becomes the classification tier in T20.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Data_Retention_Schedule.xlsx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Schedule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09-DATA-GOVERNANCE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T21 Data Retention Disposal Policy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retention schedule elevated to policy with disposal methods, enforcement process, and GDPR Art. 17 right to erasure SLAs.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Data_Breach_Response_Plan.docx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Plan</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07-GRC</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T09 GRC Security Compendium</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T09 §6 (Incident Response). Breach response is a security incident lifecycle. Data-specific breach obligations in T27 (DPIA) §5.</w:t>
            </w:r>
          </w:p>
        </w:tc>
      </w:tr>
    </w:tbl>
    <w:p>
      <w:pPr>
        <w:spacing w:before="0" w:after="0"/>
      </w:pPr>
      <w:r>
        <w:rPr>
          <w:rFonts w:ascii="Arial" w:cs="Arial" w:eastAsia="Arial" w:hAnsi="Arial"/>
          <w:sz w:val="20"/>
          <w:szCs w:val="20"/>
        </w:rPr>
        <w:t xml:space="preserve"/>
      </w:r>
    </w:p>
    <w:p>
      <w:pPr>
        <w:pStyle w:val="Heading2"/>
        <w:spacing w:before="280" w:after="120"/>
      </w:pPr>
      <w:r>
        <w:rPr>
          <w:rFonts w:ascii="Arial" w:cs="Arial" w:eastAsia="Arial" w:hAnsi="Arial"/>
          <w:b/>
          <w:bCs/>
          <w:color w:val="2E5FA3"/>
          <w:sz w:val="28"/>
          <w:szCs w:val="28"/>
        </w:rPr>
        <w:t xml:space="preserve">4.10 NAMING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800"/>
        <w:gridCol w:w="1200"/>
        <w:gridCol w:w="1600"/>
        <w:gridCol w:w="2660"/>
      </w:tblGrid>
      <w:tr>
        <w:tc>
          <w:tcPr>
            <w:tcW w:type="dxa" w:w="22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Source Artefact</w:t>
            </w:r>
          </w:p>
        </w:tc>
        <w:tc>
          <w:tcPr>
            <w:tcW w:type="dxa" w:w="9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Type</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Pattern</w:t>
            </w:r>
          </w:p>
        </w:tc>
        <w:tc>
          <w:tcPr>
            <w:tcW w:type="dxa" w:w="12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Folder</w:t>
            </w:r>
          </w:p>
        </w:tc>
        <w:tc>
          <w:tcPr>
            <w:tcW w:type="dxa" w:w="16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Target Template</w:t>
            </w:r>
          </w:p>
        </w:tc>
        <w:tc>
          <w:tcPr>
            <w:tcW w:type="dxa" w:w="266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Mapping Notes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Naming_Convention_Guide.docx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Guide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T22 Master Naming Convention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elevated to enforceable standard with MUST/MUST NOT rule tables and Conventional Commits adoption.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Database_Naming_Standards.docx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Standard</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T23 DB Naming Standard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elevated to dedicated DB standard. Constraint, index, view, function, procedure, and schema namespace naming standardized.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API_Design_Guidelines.docx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Guideline</w:t>
            </w:r>
          </w:p>
        </w:tc>
        <w:tc>
          <w:tcPr>
            <w:tcW w:type="dxa" w:w="800"/>
            <w:tcBorders>
              <w:top w:val="single" w:color="1A6B3C" w:sz="1"/>
              <w:left w:val="single" w:color="1A6B3C" w:sz="1"/>
              <w:bottom w:val="single" w:color="1A6B3C" w:sz="1"/>
              <w:right w:val="single" w:color="1A6B3C" w:sz="1"/>
            </w:tcBorders>
            <w:shd w:fill="1A6B3C"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Direct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T24 API Design Versioning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Direct — elevated to standard. URL rules, HTTP methods, status codes, error response schema, versioning policy, and security rules formalized.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REST_API_Documentation.docx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Documentation</w:t>
            </w:r>
          </w:p>
        </w:tc>
        <w:tc>
          <w:tcPr>
            <w:tcW w:type="dxa" w:w="8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Merged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T24 API Design Versioning Std</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Merged into T24. API docs describe existing behavior; T24 prescribes the standard for new APIs.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Environment_Configuration_Guide.docx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Guide</w:t>
            </w:r>
          </w:p>
        </w:tc>
        <w:tc>
          <w:tcPr>
            <w:tcW w:type="dxa" w:w="800"/>
            <w:tcBorders>
              <w:top w:val="single" w:color="C8952A" w:sz="1"/>
              <w:left w:val="single" w:color="C8952A" w:sz="1"/>
              <w:bottom w:val="single" w:color="C8952A" w:sz="1"/>
              <w:right w:val="single" w:color="C8952A" w:sz="1"/>
            </w:tcBorders>
            <w:shd w:fill="C8952A" w:val="clear"/>
            <w:tcMar>
              <w:top w:type="dxa" w:w="80"/>
              <w:left w:type="dxa" w:w="140"/>
              <w:bottom w:type="dxa" w:w="80"/>
              <w:right w:type="dxa" w:w="140"/>
            </w:tcMar>
            <w:vAlign w:val="top"/>
          </w:tcPr>
          <w:p>
            <w:pPr>
              <w:jc w:val="center"/>
            </w:pPr>
            <w:r>
              <w:rPr>
                <w:rFonts w:ascii="Arial" w:cs="Arial" w:eastAsia="Arial" w:hAnsi="Arial"/>
                <w:b/>
                <w:bCs/>
                <w:color w:val="FFFFFF"/>
                <w:sz w:val="14"/>
                <w:szCs w:val="14"/>
              </w:rPr>
              <w:t xml:space="preserve">Absorbed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B2E83"/>
                <w:sz w:val="20"/>
                <w:szCs w:val="20"/>
              </w:rPr>
              <w:t xml:space="preserve">10-NAMING-CONVENTIONS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T22 Master Naming Convention Std</w:t>
            </w:r>
          </w:p>
        </w:tc>
        <w:tc>
          <w:tcPr>
            <w:tcW w:type="dxa" w:w="2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Absorbed into T22 §6 (Environment &amp; Service Naming). Cloud resource, Kubernetes, and environment variable naming standardized.</w:t>
            </w:r>
          </w:p>
        </w:tc>
      </w:tr>
    </w:tbl>
    <w:p>
      <w:pPr>
        <w:spacing w:before="0" w:after="0"/>
      </w:pPr>
      <w:r>
        <w:rPr>
          <w:rFonts w:ascii="Arial" w:cs="Arial" w:eastAsia="Arial" w:hAnsi="Arial"/>
          <w:sz w:val="20"/>
          <w:szCs w:val="20"/>
        </w:rPr>
        <w:t xml:space="preserve"/>
      </w:r>
    </w:p>
    <w:p>
      <w:pPr>
        <w:pStyle w:val="Heading1"/>
        <w:pBdr>
          <w:bottom w:val="single" w:color="C8952A" w:sz="8" w:space="1"/>
        </w:pBdr>
        <w:spacing w:before="360" w:after="160"/>
      </w:pPr>
      <w:r>
        <w:rPr>
          <w:rFonts w:ascii="Arial" w:cs="Arial" w:eastAsia="Arial" w:hAnsi="Arial"/>
          <w:b/>
          <w:bCs/>
          <w:color w:val="1B2A4A"/>
          <w:sz w:val="36"/>
          <w:szCs w:val="36"/>
        </w:rPr>
        <w:t xml:space="preserve">5. Orphan Check — Confirmed Zero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2E5FA3" w:sz="1"/>
              <w:left w:val="single" w:color="2E5FA3" w:sz="1"/>
              <w:bottom w:val="single" w:color="2E5FA3" w:sz="1"/>
              <w:right w:val="single" w:color="2E5FA3" w:sz="1"/>
            </w:tcBorders>
            <w:shd w:fill="2E5FA3" w:val="clear"/>
            <w:tcMar>
              <w:top w:type="dxa" w:w="80"/>
              <w:left w:type="dxa" w:w="140"/>
              <w:bottom w:type="dxa" w:w="80"/>
              <w:right w:type="dxa" w:w="140"/>
            </w:tcMar>
            <w:vAlign w:val="top"/>
          </w:tcPr>
          <w:p>
            <w:pPr>
              <w:jc w:val="center"/>
            </w:pPr>
            <w:r>
              <w:rPr>
                <w:rFonts w:ascii="Arial" w:cs="Arial" w:eastAsia="Arial" w:hAnsi="Arial"/>
                <w:b/>
                <w:bCs/>
                <w:color w:val="FFFFFF"/>
                <w:sz w:val="18"/>
                <w:szCs w:val="18"/>
              </w:rPr>
              <w:t xml:space="preserve">ℹ NOTE</w:t>
            </w:r>
          </w:p>
        </w:tc>
        <w:tc>
          <w:tcPr>
            <w:tcW w:type="dxa" w:w="7960"/>
            <w:tcBorders>
              <w:top w:val="single" w:color="D6E4F7" w:sz="1"/>
              <w:left w:val="single" w:color="D6E4F7" w:sz="1"/>
              <w:bottom w:val="single" w:color="D6E4F7" w:sz="1"/>
              <w:right w:val="single" w:color="D6E4F7" w:sz="1"/>
            </w:tcBorders>
            <w:shd w:fill="D6E4F7" w:val="clear"/>
            <w:tcMar>
              <w:top w:type="dxa" w:w="80"/>
              <w:left w:type="dxa" w:w="140"/>
              <w:bottom w:type="dxa" w:w="80"/>
              <w:right w:type="dxa" w:w="140"/>
            </w:tcMar>
            <w:vAlign w:val="top"/>
          </w:tcPr>
          <w:p>
            <w:r>
              <w:rPr>
                <w:rFonts w:ascii="Arial" w:cs="Arial" w:eastAsia="Arial" w:hAnsi="Arial"/>
                <w:color w:val="4A4A4A"/>
                <w:sz w:val="20"/>
                <w:szCs w:val="20"/>
              </w:rPr>
              <w:t xml:space="preserve">The following verification confirms that every source artefact has a governing template and every template has at least one source artefact mapped to it.</w:t>
            </w:r>
          </w:p>
        </w:tc>
      </w:tr>
    </w:tbl>
    <w:p>
      <w:pPr>
        <w:spacing w:before="0" w:after="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400"/>
        <w:gridCol w:w="3960"/>
      </w:tblGrid>
      <w:tr>
        <w:tc>
          <w:tcPr>
            <w:tcW w:type="dxa" w:w="40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Verification Check</w:t>
            </w:r>
          </w:p>
        </w:tc>
        <w:tc>
          <w:tcPr>
            <w:tcW w:type="dxa" w:w="140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Result</w:t>
            </w:r>
          </w:p>
        </w:tc>
        <w:tc>
          <w:tcPr>
            <w:tcW w:type="dxa" w:w="3960"/>
            <w:tcBorders>
              <w:top w:val="single" w:color="1B2A4A" w:sz="1"/>
              <w:left w:val="single" w:color="1B2A4A" w:sz="1"/>
              <w:bottom w:val="single" w:color="1B2A4A" w:sz="1"/>
              <w:right w:val="single" w:color="1B2A4A" w:sz="1"/>
            </w:tcBorders>
            <w:shd w:fill="1B2A4A" w:val="clear"/>
            <w:tcMar>
              <w:top w:type="dxa" w:w="80"/>
              <w:left w:type="dxa" w:w="140"/>
              <w:bottom w:type="dxa" w:w="80"/>
              <w:right w:type="dxa" w:w="140"/>
            </w:tcMar>
            <w:vAlign w:val="top"/>
          </w:tcPr>
          <w:p>
            <w:pPr>
              <w:jc w:val="left"/>
            </w:pPr>
            <w:r>
              <w:rPr>
                <w:rFonts w:ascii="Arial" w:cs="Arial" w:eastAsia="Arial" w:hAnsi="Arial"/>
                <w:b/>
                <w:bCs/>
                <w:color w:val="FFFFFF"/>
                <w:sz w:val="20"/>
                <w:szCs w:val="20"/>
              </w:rPr>
              <w:t xml:space="preserve">Notes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Every source artefact maps to at least one target template</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 91/91</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No orphaned source artefacts. All content is owned.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Every target template (T01–T31) has at least one source artefact</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 31/31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31 templates trace back to real source content — no empty templates without heritage.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Every new folder (T19–T31) closes at least one documented governance gap</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 7/7 gaps closed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7 gaps from §3 are fully addressed by new templates.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No artefact is mapped to a non-existent template</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 0 invalid references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All target template IDs verified against the DocBase Index.</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b/>
                <w:bCs/>
                <w:color w:val="4A4A4A"/>
                <w:sz w:val="20"/>
                <w:szCs w:val="20"/>
              </w:rPr>
              <w:t xml:space="preserve">No duplicate governance — same topic governed by two templates</w:t>
            </w:r>
          </w:p>
        </w:tc>
        <w:tc>
          <w:tcPr>
            <w:tcW w:type="dxa" w:w="1400"/>
            <w:tcBorders>
              <w:top w:val="single" w:color="CCCCCC" w:sz="1"/>
              <w:left w:val="single" w:color="CCCCCC" w:sz="1"/>
              <w:bottom w:val="single" w:color="CCCCCC" w:sz="1"/>
              <w:right w:val="single" w:color="CCCCCC" w:sz="1"/>
            </w:tcBorders>
            <w:shd w:fill="D6EFE1" w:val="clear"/>
            <w:tcMar>
              <w:top w:type="dxa" w:w="80"/>
              <w:left w:type="dxa" w:w="140"/>
              <w:bottom w:type="dxa" w:w="80"/>
              <w:right w:type="dxa" w:w="140"/>
            </w:tcMar>
            <w:vAlign w:val="top"/>
          </w:tcPr>
          <w:p>
            <w:pPr>
              <w:jc w:val="center"/>
            </w:pPr>
            <w:r>
              <w:rPr>
                <w:rFonts w:ascii="Arial" w:cs="Arial" w:eastAsia="Arial" w:hAnsi="Arial"/>
                <w:b/>
                <w:bCs/>
                <w:color w:val="1A6B3C"/>
                <w:sz w:val="18"/>
                <w:szCs w:val="18"/>
              </w:rPr>
              <w:t xml:space="preserve">✓ 0 conflicts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top"/>
          </w:tcPr>
          <w:p>
            <w:pPr>
              <w:jc w:val="left"/>
            </w:pPr>
            <w:r>
              <w:rPr>
                <w:rFonts w:ascii="Arial" w:cs="Arial" w:eastAsia="Arial" w:hAnsi="Arial"/>
                <w:color w:val="4A4A4A"/>
                <w:sz w:val="20"/>
                <w:szCs w:val="20"/>
              </w:rPr>
              <w:t xml:space="preserve">Merge decisions documented in §2.2 Mapping Pattern Summary.</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after="0"/>
    </w:pPr>
    <w:r>
      <w:rPr>
        <w:rFonts w:ascii="Arial" w:cs="Arial" w:eastAsia="Arial" w:hAnsi="Arial"/>
        <w:color w:val="CCCCCC"/>
        <w:sz w:val="16"/>
        <w:szCs w:val="16"/>
      </w:rPr>
      <w:t xml:space="preserve">Universal Project Document Base  ·  Template Library  ·  Replace all [BRACKETED] placeholders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2E83" w:sz="4" w:space="1"/>
      </w:pBdr>
      <w:spacing w:before="0" w:after="100"/>
    </w:pPr>
    <w:r>
      <w:rPr>
        <w:rFonts w:ascii="Arial" w:cs="Arial" w:eastAsia="Arial" w:hAnsi="Arial"/>
        <w:color w:val="4A4A4A"/>
        <w:sz w:val="16"/>
        <w:szCs w:val="16"/>
      </w:rPr>
      <w:t xml:space="preserve">META  |  Artifact-to-DocBase Traceability Report  |  META-GLOBAL-TRACE-01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A3"/>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2026-03-22T08:14:27.082Z</dcterms:created>
  <dcterms:modified xsi:type="dcterms:W3CDTF">2026-03-22T08:14:27.084Z</dcterms:modified>
</cp:coreProperties>
</file>

<file path=docProps/custom.xml><?xml version="1.0" encoding="utf-8"?>
<Properties xmlns="http://schemas.openxmlformats.org/officeDocument/2006/custom-properties" xmlns:vt="http://schemas.openxmlformats.org/officeDocument/2006/docPropsVTypes"/>
</file>