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</w:p>
    <w:p>
      <w:pPr>
        <w:spacing w:before="0" w:after="80"/>
      </w:pPr>
    </w:p>
    <w:p>
      <w:pPr>
        <w:spacing w:before="0" w:after="80"/>
      </w:pPr>
    </w:p>
    <w:p>
      <w:pPr>
        <w:spacing w:before="0" w:after="60"/>
        <w:jc w:val="center"/>
      </w:pPr>
      <w:r>
        <w:rPr>
          <w:rFonts w:ascii="Libre Baskerville" w:cs="Libre Baskerville" w:eastAsia="Libre Baskerville" w:hAnsi="Libre Baskerville"/>
          <w:b/>
          <w:bCs/>
          <w:color w:val="1A365D"/>
          <w:sz w:val="56"/>
          <w:szCs w:val="56"/>
        </w:rPr>
        <w:t xml:space="preserve">MASTER CANON</w:t>
      </w:r>
    </w:p>
    <w:p>
      <w:pPr>
        <w:spacing w:before="0" w:after="200"/>
        <w:jc w:val="center"/>
      </w:pPr>
      <w:r>
        <w:rPr>
          <w:rFonts w:ascii="Libre Baskerville" w:cs="Libre Baskerville" w:eastAsia="Libre Baskerville" w:hAnsi="Libre Baskerville"/>
          <w:b/>
          <w:bCs/>
          <w:color w:val="2B6CB0"/>
          <w:sz w:val="40"/>
          <w:szCs w:val="40"/>
        </w:rPr>
        <w:t xml:space="preserve">DESIGN SPECIFICATION</w:t>
      </w:r>
    </w:p>
    <w:p>
      <w:pPr>
        <w:spacing w:before="0" w:after="40"/>
        <w:jc w:val="center"/>
      </w:pPr>
      <w:r>
        <w:rPr>
          <w:rFonts w:ascii="IBM Plex Sans" w:cs="IBM Plex Sans" w:eastAsia="IBM Plex Sans" w:hAnsi="IBM Plex Sans"/>
          <w:i/>
          <w:iCs/>
          <w:color w:val="888888"/>
          <w:sz w:val="24"/>
          <w:szCs w:val="24"/>
        </w:rPr>
        <w:t xml:space="preserve">Personal Universal Design System</w:t>
      </w:r>
    </w:p>
    <w:p>
      <w:pPr>
        <w:spacing w:before="0" w:after="320"/>
        <w:jc w:val="center"/>
      </w:pPr>
      <w:r>
        <w:rPr>
          <w:rFonts w:ascii="Libre Baskerville" w:cs="Libre Baskerville" w:eastAsia="Libre Baskerville" w:hAnsi="Libre Baskerville"/>
          <w:b/>
          <w:bCs/>
          <w:color w:val="0A0A0A"/>
          <w:sz w:val="28"/>
          <w:szCs w:val="28"/>
        </w:rPr>
        <w:t xml:space="preserve">Cường Q. Huỳnh</w:t>
      </w:r>
    </w:p>
    <w:p>
      <w:pPr>
        <w:pBdr>
          <w:bottom w:val="single" w:color="D0D0D0" w:sz="4" w:space="1"/>
        </w:pBdr>
        <w:spacing w:before="120" w:after="120"/>
      </w:pPr>
      <w:r>
        <w:t xml:space="preserve"/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Fira Code" w:cs="Fira Code" w:eastAsia="Fira Code" w:hAnsi="Fira Code"/>
                <w:b/>
                <w:bCs/>
                <w:color w:val="888888"/>
                <w:sz w:val="17"/>
                <w:szCs w:val="17"/>
              </w:rPr>
              <w:t xml:space="preserve">Document ID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Fira Code" w:cs="Fira Code" w:eastAsia="Fira Code" w:hAnsi="Fira Code"/>
                <w:color w:val="2B6CB0"/>
                <w:sz w:val="17"/>
                <w:szCs w:val="17"/>
              </w:rPr>
              <w:t xml:space="preserve">DESIGN-CANON-2026-001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Fira Code" w:cs="Fira Code" w:eastAsia="Fira Code" w:hAnsi="Fira Code"/>
                <w:b/>
                <w:bCs/>
                <w:color w:val="888888"/>
                <w:sz w:val="17"/>
                <w:szCs w:val="17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Fira Code" w:cs="Fira Code" w:eastAsia="Fira Code" w:hAnsi="Fira Code"/>
                <w:color w:val="2B6CB0"/>
                <w:sz w:val="17"/>
                <w:szCs w:val="17"/>
              </w:rPr>
              <w:t xml:space="preserve">1.0.1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Fira Code" w:cs="Fira Code" w:eastAsia="Fira Code" w:hAnsi="Fira Code"/>
                <w:b/>
                <w:bCs/>
                <w:color w:val="888888"/>
                <w:sz w:val="17"/>
                <w:szCs w:val="17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Fira Code" w:cs="Fira Code" w:eastAsia="Fira Code" w:hAnsi="Fira Code"/>
                <w:color w:val="E07A5F"/>
                <w:sz w:val="17"/>
                <w:szCs w:val="17"/>
              </w:rPr>
              <w:t xml:space="preserve">REVIEW — Sprint Review Complete, Pending Ratification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Fira Code" w:cs="Fira Code" w:eastAsia="Fira Code" w:hAnsi="Fira Code"/>
                <w:b/>
                <w:bCs/>
                <w:color w:val="888888"/>
                <w:sz w:val="17"/>
                <w:szCs w:val="17"/>
              </w:rPr>
              <w:t xml:space="preserve">Created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Fira Code" w:cs="Fira Code" w:eastAsia="Fira Code" w:hAnsi="Fira Code"/>
                <w:color w:val="2B6CB0"/>
                <w:sz w:val="17"/>
                <w:szCs w:val="17"/>
              </w:rPr>
              <w:t xml:space="preserve">2026-03-23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Fira Code" w:cs="Fira Code" w:eastAsia="Fira Code" w:hAnsi="Fira Code"/>
                <w:b/>
                <w:bCs/>
                <w:color w:val="888888"/>
                <w:sz w:val="17"/>
                <w:szCs w:val="17"/>
              </w:rPr>
              <w:t xml:space="preserve">Author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Fira Code" w:cs="Fira Code" w:eastAsia="Fira Code" w:hAnsi="Fira Code"/>
                <w:color w:val="2B6CB0"/>
                <w:sz w:val="17"/>
                <w:szCs w:val="17"/>
              </w:rPr>
              <w:t xml:space="preserve">Cường Q. Huỳnh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Fira Code" w:cs="Fira Code" w:eastAsia="Fira Code" w:hAnsi="Fira Code"/>
                <w:b/>
                <w:bCs/>
                <w:color w:val="888888"/>
                <w:sz w:val="17"/>
                <w:szCs w:val="17"/>
              </w:rPr>
              <w:t xml:space="preserve">Role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Fira Code" w:cs="Fira Code" w:eastAsia="Fira Code" w:hAnsi="Fira Code"/>
                <w:color w:val="2B6CB0"/>
                <w:sz w:val="17"/>
                <w:szCs w:val="17"/>
              </w:rPr>
              <w:t xml:space="preserve">Master Orchestrator · Virtual Librarian · IP Assets Professional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Fira Code" w:cs="Fira Code" w:eastAsia="Fira Code" w:hAnsi="Fira Code"/>
                <w:b/>
                <w:bCs/>
                <w:color w:val="888888"/>
                <w:sz w:val="17"/>
                <w:szCs w:val="17"/>
              </w:rPr>
              <w:t xml:space="preserve">Assisted by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Fira Code" w:cs="Fira Code" w:eastAsia="Fira Code" w:hAnsi="Fira Code"/>
                <w:color w:val="2B6CB0"/>
                <w:sz w:val="17"/>
                <w:szCs w:val="17"/>
              </w:rPr>
              <w:t xml:space="preserve">Claude-Sonnet-4.6 (Anthropic)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Fira Code" w:cs="Fira Code" w:eastAsia="Fira Code" w:hAnsi="Fira Code"/>
                <w:b/>
                <w:bCs/>
                <w:color w:val="888888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Fira Code" w:cs="Fira Code" w:eastAsia="Fira Code" w:hAnsi="Fira Code"/>
                <w:color w:val="2B6CB0"/>
                <w:sz w:val="17"/>
                <w:szCs w:val="17"/>
              </w:rPr>
              <w:t xml:space="preserve">Personal IP · Canon Reference · Evergreen</w:t>
            </w:r>
          </w:p>
        </w:tc>
      </w:tr>
    </w:tbl>
    <w:p>
      <w:pPr>
        <w:spacing w:before="0" w:after="80"/>
      </w:pPr>
    </w:p>
    <w:p>
      <w:pPr>
        <w:pBdr>
          <w:bottom w:val="single" w:color="D0D0D0" w:sz="4" w:space="1"/>
        </w:pBdr>
        <w:spacing w:before="120" w:after="120"/>
      </w:pPr>
      <w:r>
        <w:t xml:space="preserve"/>
      </w:r>
    </w:p>
    <w:p>
      <w:pPr>
        <w:spacing w:before="0" w:after="80"/>
      </w:pPr>
    </w:p>
    <w:p>
      <w:pPr>
        <w:pStyle w:val="Heading3"/>
        <w:spacing w:before="200" w:after="100"/>
      </w:pPr>
      <w:r>
        <w:rPr>
          <w:rFonts w:ascii="IBM Plex Sans" w:cs="IBM Plex Sans" w:eastAsia="IBM Plex Sans" w:hAnsi="IBM Plex Sans"/>
          <w:b/>
          <w:bCs/>
          <w:color w:val="1A365D"/>
          <w:sz w:val="22"/>
          <w:szCs w:val="22"/>
        </w:rPr>
        <w:t xml:space="preserve">Traceability — Source Documents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BM Plex Sans" w:cs="IBM Plex Sans" w:eastAsia="IBM Plex Sans" w:hAnsi="IBM Plex Sans"/>
          <w:color w:val="0A0A0A"/>
          <w:sz w:val="20"/>
          <w:szCs w:val="20"/>
        </w:rPr>
        <w:t xml:space="preserve">Source A: Universal Personal Theme YAML — Soft Minimalism / Soft Morphism, 4 palettes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BM Plex Sans" w:cs="IBM Plex Sans" w:eastAsia="IBM Plex Sans" w:hAnsi="IBM Plex Sans"/>
          <w:color w:val="0A0A0A"/>
          <w:sz w:val="20"/>
          <w:szCs w:val="20"/>
        </w:rPr>
        <w:t xml:space="preserve">Source B: Elegant Academic &amp; Professional YAML — serif-first academic theme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BM Plex Sans" w:cs="IBM Plex Sans" w:eastAsia="IBM Plex Sans" w:hAnsi="IBM Plex Sans"/>
          <w:color w:val="0A0A0A"/>
          <w:sz w:val="20"/>
          <w:szCs w:val="20"/>
        </w:rPr>
        <w:t xml:space="preserve">Source C: Echelon YAML — Monochromatic + 1 Exceptional color 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BM Plex Sans" w:cs="IBM Plex Sans" w:eastAsia="IBM Plex Sans" w:hAnsi="IBM Plex Sans"/>
          <w:color w:val="0A0A0A"/>
          <w:sz w:val="20"/>
          <w:szCs w:val="20"/>
        </w:rPr>
        <w:t xml:space="preserve">Source D: Morphism UI Spec — Glassmorphism / Neumorphism / Claymorphism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BM Plex Sans" w:cs="IBM Plex Sans" w:eastAsia="IBM Plex Sans" w:hAnsi="IBM Plex Sans"/>
          <w:color w:val="0A0A0A"/>
          <w:sz w:val="20"/>
          <w:szCs w:val="20"/>
        </w:rPr>
        <w:t xml:space="preserve">Source E: Universal SCSS — Implementation reference, CSS variables, responsive system</w:t>
      </w:r>
    </w:p>
    <w:p>
      <w:pPr>
        <w:spacing w:before="0" w:after="80"/>
      </w:pPr>
    </w:p>
    <w:p>
      <w:pPr>
        <w:pStyle w:val="Heading3"/>
        <w:spacing w:before="200" w:after="100"/>
      </w:pPr>
      <w:r>
        <w:rPr>
          <w:rFonts w:ascii="IBM Plex Sans" w:cs="IBM Plex Sans" w:eastAsia="IBM Plex Sans" w:hAnsi="IBM Plex Sans"/>
          <w:b/>
          <w:bCs/>
          <w:color w:val="1A365D"/>
          <w:sz w:val="22"/>
          <w:szCs w:val="22"/>
        </w:rPr>
        <w:t xml:space="preserve">Changelog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400"/>
        <w:gridCol w:w="3960"/>
      </w:tblGrid>
      <w:tr>
        <w:trPr>
          <w:tblHeader/>
        </w:trP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1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1A365D"/>
                <w:sz w:val="18"/>
                <w:szCs w:val="18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1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1A365D"/>
                <w:sz w:val="18"/>
                <w:szCs w:val="18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1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1A365D"/>
                <w:sz w:val="18"/>
                <w:szCs w:val="18"/>
              </w:rPr>
              <w:t xml:space="preserve">Author</w:t>
            </w:r>
          </w:p>
        </w:tc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1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1A365D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1.0.0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2026-03-23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Cường.Q.Huỳnh + Claude</w:t>
            </w:r>
          </w:p>
        </w:tc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Initial synthesis from 5 source specs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1.0.1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2026-03-23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Agent-IP + Claude</w:t>
            </w:r>
          </w:p>
        </w:tc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Embed cryptographic signature block; status → REVIEW</w:t>
            </w:r>
          </w:p>
        </w:tc>
      </w:tr>
    </w:tbl>
    <w:p>
      <w:pPr>
        <w:spacing w:before="0" w:after="80"/>
      </w:pPr>
    </w:p>
    <w:p>
      <w:pPr>
        <w:pStyle w:val="Heading3"/>
        <w:spacing w:before="200" w:after="100"/>
      </w:pPr>
      <w:r>
        <w:rPr>
          <w:rFonts w:ascii="IBM Plex Sans" w:cs="IBM Plex Sans" w:eastAsia="IBM Plex Sans" w:hAnsi="IBM Plex Sans"/>
          <w:b/>
          <w:bCs/>
          <w:color w:val="1A365D"/>
          <w:sz w:val="22"/>
          <w:szCs w:val="22"/>
        </w:rPr>
        <w:t xml:space="preserve">Cryptographic Signature Block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Fira Code" w:cs="Fira Code" w:eastAsia="Fira Code" w:hAnsi="Fira Code"/>
                <w:b/>
                <w:bCs/>
                <w:color w:val="888888"/>
                <w:sz w:val="17"/>
                <w:szCs w:val="17"/>
              </w:rPr>
              <w:t xml:space="preserve">Author Sign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Fira Code" w:cs="Fira Code" w:eastAsia="Fira Code" w:hAnsi="Fira Code"/>
                <w:color w:val="E07A5F"/>
                <w:sz w:val="17"/>
                <w:szCs w:val="17"/>
              </w:rPr>
              <w:t xml:space="preserve">Cường.Q.Huỳnh → [Pending PO Ratification]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Fira Code" w:cs="Fira Code" w:eastAsia="Fira Code" w:hAnsi="Fira Code"/>
                <w:b/>
                <w:bCs/>
                <w:color w:val="888888"/>
                <w:sz w:val="17"/>
                <w:szCs w:val="17"/>
              </w:rPr>
              <w:t xml:space="preserve">System Sign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Fira Code" w:cs="Fira Code" w:eastAsia="Fira Code" w:hAnsi="Fira Code"/>
                <w:color w:val="2B6CB0"/>
                <w:sz w:val="17"/>
                <w:szCs w:val="17"/>
              </w:rPr>
              <w:t xml:space="preserve">Claude-Sonnet-4.6 | 2026-03-23T08:25:31Z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Fira Code" w:cs="Fira Code" w:eastAsia="Fira Code" w:hAnsi="Fira Code"/>
                <w:b/>
                <w:bCs/>
                <w:color w:val="888888"/>
                <w:sz w:val="17"/>
                <w:szCs w:val="17"/>
              </w:rPr>
              <w:t xml:space="preserve">Doc Hash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Fira Code" w:cs="Fira Code" w:eastAsia="Fira Code" w:hAnsi="Fira Code"/>
                <w:color w:val="2B6CB0"/>
                <w:sz w:val="17"/>
                <w:szCs w:val="17"/>
              </w:rPr>
              <w:t xml:space="preserve">118320ff480de68e1d99791661a72946b9f6def39f5c67a87323060a6d8f7825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Fira Code" w:cs="Fira Code" w:eastAsia="Fira Code" w:hAnsi="Fira Code"/>
                <w:b/>
                <w:bCs/>
                <w:color w:val="888888"/>
                <w:sz w:val="17"/>
                <w:szCs w:val="17"/>
              </w:rPr>
              <w:t xml:space="preserve">UUID v7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Fira Code" w:cs="Fira Code" w:eastAsia="Fira Code" w:hAnsi="Fira Code"/>
                <w:color w:val="2B6CB0"/>
                <w:sz w:val="17"/>
                <w:szCs w:val="17"/>
              </w:rPr>
              <w:t xml:space="preserve">019d19cc-96f4-7-b64e-cbeaf11d5eef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Fira Code" w:cs="Fira Code" w:eastAsia="Fira Code" w:hAnsi="Fira Code"/>
                <w:b/>
                <w:bCs/>
                <w:color w:val="888888"/>
                <w:sz w:val="17"/>
                <w:szCs w:val="17"/>
              </w:rPr>
              <w:t xml:space="preserve">Context Hash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Fira Code" w:cs="Fira Code" w:eastAsia="Fira Code" w:hAnsi="Fira Code"/>
                <w:color w:val="2B6CB0"/>
                <w:sz w:val="17"/>
                <w:szCs w:val="17"/>
              </w:rPr>
              <w:t xml:space="preserve">cad81c19b349096e89c5337e068247a3b6209eb9ce8665d72713247d7d8a4fb6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Fira Code" w:cs="Fira Code" w:eastAsia="Fira Code" w:hAnsi="Fira Code"/>
                <w:b/>
                <w:bCs/>
                <w:color w:val="888888"/>
                <w:sz w:val="17"/>
                <w:szCs w:val="17"/>
              </w:rPr>
              <w:t xml:space="preserve">Composite Sig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Fira Code" w:cs="Fira Code" w:eastAsia="Fira Code" w:hAnsi="Fira Code"/>
                <w:color w:val="2B6CB0"/>
                <w:sz w:val="17"/>
                <w:szCs w:val="17"/>
              </w:rPr>
              <w:t xml:space="preserve">26e223d51a78ab458ebe753905bcb4d329bbca701e73cbbc069b957b6beecd87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Fira Code" w:cs="Fira Code" w:eastAsia="Fira Code" w:hAnsi="Fira Code"/>
                <w:b/>
                <w:bCs/>
                <w:color w:val="888888"/>
                <w:sz w:val="17"/>
                <w:szCs w:val="17"/>
              </w:rPr>
              <w:t xml:space="preserve">Context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Fira Code" w:cs="Fira Code" w:eastAsia="Fira Code" w:hAnsi="Fira Code"/>
                <w:color w:val="2B6CB0"/>
                <w:sz w:val="17"/>
                <w:szCs w:val="17"/>
              </w:rPr>
              <w:t xml:space="preserve">DESIGN-CANON-2026-001|v1.0.0|2026-03-23|author:Cuong.Q.Huynh|system:Claude-Sonnet-4.6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Fira Code" w:cs="Fira Code" w:eastAsia="Fira Code" w:hAnsi="Fira Code"/>
                <w:b/>
                <w:bCs/>
                <w:color w:val="888888"/>
                <w:sz w:val="17"/>
                <w:szCs w:val="17"/>
              </w:rPr>
              <w:t xml:space="preserve">Authority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Fira Code" w:cs="Fira Code" w:eastAsia="Fira Code" w:hAnsi="Fira Code"/>
                <w:color w:val="E07A5F"/>
                <w:sz w:val="17"/>
                <w:szCs w:val="17"/>
              </w:rPr>
              <w:t xml:space="preserve">[Pending PO ratification — Cường.Q.Huỳnh]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pBdr>
          <w:bottom w:val="single" w:color="2B6CB0" w:sz="8" w:space="6"/>
        </w:pBdr>
        <w:spacing w:before="400" w:after="180"/>
      </w:pPr>
      <w:r>
        <w:rPr>
          <w:rFonts w:ascii="Libre Baskerville" w:cs="Libre Baskerville" w:eastAsia="Libre Baskerville" w:hAnsi="Libre Baskerville"/>
          <w:b/>
          <w:bCs/>
          <w:color w:val="1A365D"/>
          <w:sz w:val="36"/>
          <w:szCs w:val="36"/>
        </w:rPr>
        <w:t xml:space="preserve">PREAMBLE — Design Philosophy</w:t>
      </w:r>
    </w:p>
    <w:p>
      <w:pPr>
        <w:pBdr>
          <w:left w:val="single" w:color="E07A5F" w:sz="12" w:space="12"/>
        </w:pBdr>
        <w:shd w:fill="FEF0EC" w:val="clear"/>
        <w:spacing w:before="120" w:after="120"/>
        <w:ind w:left="540"/>
      </w:pPr>
      <w:r>
        <w:rPr>
          <w:rFonts w:ascii="Libre Baskerville" w:cs="Libre Baskerville" w:eastAsia="Libre Baskerville" w:hAnsi="Libre Baskerville"/>
          <w:i/>
          <w:iCs/>
          <w:color w:val="E07A5F"/>
          <w:sz w:val="20"/>
          <w:szCs w:val="20"/>
        </w:rPr>
        <w:t xml:space="preserve">"Clarity is not emptiness. Softness is not weakness. Every surface is a statement."</w:t>
      </w:r>
    </w:p>
    <w:p>
      <w:pPr>
        <w:spacing w:before="0" w:after="100"/>
        <w:jc w:val="left"/>
      </w:pPr>
      <w:r>
        <w:rPr>
          <w:rFonts w:ascii="Libre Baskerville" w:cs="Libre Baskerville" w:eastAsia="Libre Baskerville" w:hAnsi="Libre Baskerville"/>
          <w:color w:val="0A0A0A"/>
          <w:sz w:val="20"/>
          <w:szCs w:val="20"/>
        </w:rPr>
        <w:t xml:space="preserve">This Canon is the single source of truth governing all visual output attributed to Cường.Q.Huỳnh — spanning web UI, academic documents, slide decks, data visualization, and creative works. It is not a style guide for a single project; it is a personal design language, a living IP asset.</w:t>
      </w:r>
    </w:p>
    <w:p>
      <w:pPr>
        <w:spacing w:before="0" w:after="80"/>
      </w:pPr>
    </w:p>
    <w:p>
      <w:pPr>
        <w:pStyle w:val="Heading3"/>
        <w:spacing w:before="200" w:after="100"/>
      </w:pPr>
      <w:r>
        <w:rPr>
          <w:rFonts w:ascii="IBM Plex Sans" w:cs="IBM Plex Sans" w:eastAsia="IBM Plex Sans" w:hAnsi="IBM Plex Sans"/>
          <w:b/>
          <w:bCs/>
          <w:color w:val="1A365D"/>
          <w:sz w:val="22"/>
          <w:szCs w:val="22"/>
        </w:rPr>
        <w:t xml:space="preserve">Three Governing Principles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rPr>
          <w:tblHeader/>
        </w:trP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1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1A365D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1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1A365D"/>
                <w:sz w:val="18"/>
                <w:szCs w:val="18"/>
              </w:rPr>
              <w:t xml:space="preserve">Principle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1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1A365D"/>
                <w:sz w:val="18"/>
                <w:szCs w:val="18"/>
              </w:rPr>
              <w:t xml:space="preserve">Statement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Soft Minimalism as Default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Restrained color, generous whitespace, refined typography. Complexity lives in structure, not decoration.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Contextual Morphism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Surface style adapts to medium but palette and typography remain canonical across all contexts.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60 / 30 / 10 Color Law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Non-negotiable. Primary dominates, secondary structures, accent punctuates. No exceptions.</w:t>
            </w:r>
          </w:p>
        </w:tc>
      </w:tr>
    </w:tbl>
    <w:p>
      <w:pPr>
        <w:spacing w:before="0" w:after="80"/>
      </w:pPr>
    </w:p>
    <w:p>
      <w:pPr>
        <w:pStyle w:val="Heading1"/>
        <w:pBdr>
          <w:bottom w:val="single" w:color="2B6CB0" w:sz="8" w:space="6"/>
        </w:pBdr>
        <w:spacing w:before="400" w:after="180"/>
      </w:pPr>
      <w:r>
        <w:rPr>
          <w:rFonts w:ascii="Libre Baskerville" w:cs="Libre Baskerville" w:eastAsia="Libre Baskerville" w:hAnsi="Libre Baskerville"/>
          <w:b/>
          <w:bCs/>
          <w:color w:val="1A365D"/>
          <w:sz w:val="36"/>
          <w:szCs w:val="36"/>
        </w:rPr>
        <w:t xml:space="preserve">PART I — COLOR SYSTEM</w:t>
      </w:r>
    </w:p>
    <w:p>
      <w:pPr>
        <w:pStyle w:val="Heading2"/>
        <w:spacing w:before="280" w:after="120"/>
      </w:pPr>
      <w:r>
        <w:rPr>
          <w:rFonts w:ascii="Libre Baskerville" w:cs="Libre Baskerville" w:eastAsia="Libre Baskerville" w:hAnsi="Libre Baskerville"/>
          <w:b/>
          <w:bCs/>
          <w:color w:val="2B6CB0"/>
          <w:sz w:val="26"/>
          <w:szCs w:val="26"/>
        </w:rPr>
        <w:t xml:space="preserve">1.1 Master Palette Registry</w:t>
      </w:r>
    </w:p>
    <w:p>
      <w:pPr>
        <w:spacing w:before="0" w:after="100"/>
        <w:jc w:val="left"/>
      </w:pPr>
      <w:r>
        <w:rPr>
          <w:rFonts w:ascii="IBM Plex Sans" w:cs="IBM Plex Sans" w:eastAsia="IBM Plex Sans" w:hAnsi="IBM Plex Sans"/>
          <w:color w:val="0A0A0A"/>
          <w:sz w:val="20"/>
          <w:szCs w:val="20"/>
        </w:rPr>
        <w:t xml:space="preserve">Four canonical palettes. One active at a time. All governed by the 60/30/10 Law.</w:t>
      </w:r>
    </w:p>
    <w:p>
      <w:pPr>
        <w:spacing w:before="0" w:after="80"/>
      </w:pPr>
    </w:p>
    <w:p>
      <w:pPr>
        <w:pStyle w:val="Heading3"/>
        <w:spacing w:before="200" w:after="100"/>
      </w:pPr>
      <w:r>
        <w:rPr>
          <w:rFonts w:ascii="IBM Plex Sans" w:cs="IBM Plex Sans" w:eastAsia="IBM Plex Sans" w:hAnsi="IBM Plex Sans"/>
          <w:b/>
          <w:bCs/>
          <w:color w:val="1A365D"/>
          <w:sz w:val="22"/>
          <w:szCs w:val="22"/>
        </w:rPr>
        <w:t xml:space="preserve">Theme 1: CLARITY (Default)</w:t>
      </w:r>
    </w:p>
    <w:p>
      <w:pPr>
        <w:spacing w:before="0" w:after="100"/>
        <w:jc w:val="left"/>
      </w:pPr>
      <w:r>
        <w:rPr>
          <w:rFonts w:ascii="IBM Plex Sans" w:cs="IBM Plex Sans" w:eastAsia="IBM Plex Sans" w:hAnsi="IBM Plex Sans"/>
          <w:i/>
          <w:iCs/>
          <w:color w:val="888888"/>
          <w:sz w:val="20"/>
          <w:szCs w:val="20"/>
        </w:rPr>
        <w:t xml:space="preserve">Neutral, clean, bright. For everyday work, technical writing, and light-mode UI.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560"/>
        <w:gridCol w:w="3800"/>
      </w:tblGrid>
      <w:tr>
        <w:trPr>
          <w:tblHeader/>
        </w:trP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1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1A365D"/>
                <w:sz w:val="18"/>
                <w:szCs w:val="18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1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1A365D"/>
                <w:sz w:val="18"/>
                <w:szCs w:val="18"/>
              </w:rPr>
              <w:t xml:space="preserve">Token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1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1A365D"/>
                <w:sz w:val="18"/>
                <w:szCs w:val="18"/>
              </w:rPr>
              <w:t xml:space="preserve">Hex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1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1A365D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Primary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--primary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#FDFDFD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60% — backgrounds, canvas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Secondary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--secondary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#F5F5F5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30% — panels, containers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Accent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--accent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#A8D5BA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10% — links, CTAs, highlights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Accent Light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--accent-light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#C7E7D1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Hover states, gradient start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Accent Dark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--accent-dark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#7BAE8C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Active states, gradient end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Text Primary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--text-primary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#111111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Body, headings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Text Secondary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--text-secondary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#444444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Captions, sub-labels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Text Muted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--text-muted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#888888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Footnotes, placeholders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Border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--border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#DDDDDD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Dividers, input edges</w:t>
            </w:r>
          </w:p>
        </w:tc>
      </w:tr>
    </w:tbl>
    <w:p>
      <w:pPr>
        <w:spacing w:before="0" w:after="80"/>
      </w:pPr>
    </w:p>
    <w:p>
      <w:pPr>
        <w:pStyle w:val="Heading3"/>
        <w:spacing w:before="200" w:after="100"/>
      </w:pPr>
      <w:r>
        <w:rPr>
          <w:rFonts w:ascii="IBM Plex Sans" w:cs="IBM Plex Sans" w:eastAsia="IBM Plex Sans" w:hAnsi="IBM Plex Sans"/>
          <w:b/>
          <w:bCs/>
          <w:color w:val="1A365D"/>
          <w:sz w:val="22"/>
          <w:szCs w:val="22"/>
        </w:rPr>
        <w:t xml:space="preserve">Theme 2: FOCUS</w:t>
      </w:r>
    </w:p>
    <w:p>
      <w:pPr>
        <w:spacing w:before="0" w:after="100"/>
        <w:jc w:val="left"/>
      </w:pPr>
      <w:r>
        <w:rPr>
          <w:rFonts w:ascii="IBM Plex Sans" w:cs="IBM Plex Sans" w:eastAsia="IBM Plex Sans" w:hAnsi="IBM Plex Sans"/>
          <w:i/>
          <w:iCs/>
          <w:color w:val="888888"/>
          <w:sz w:val="20"/>
          <w:szCs w:val="20"/>
        </w:rPr>
        <w:t xml:space="preserve">High-contrast academic and business mode. Confident blue. For formal reports and presentations.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560"/>
        <w:gridCol w:w="3800"/>
      </w:tblGrid>
      <w:tr>
        <w:trPr>
          <w:tblHeader/>
        </w:trP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1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1A365D"/>
                <w:sz w:val="18"/>
                <w:szCs w:val="18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1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1A365D"/>
                <w:sz w:val="18"/>
                <w:szCs w:val="18"/>
              </w:rPr>
              <w:t xml:space="preserve">Token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1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1A365D"/>
                <w:sz w:val="18"/>
                <w:szCs w:val="18"/>
              </w:rPr>
              <w:t xml:space="preserve">Hex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1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1A365D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Primary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--primary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#FFFFFF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60% — pure white canvas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Secondary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--secondary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#EDEDED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30% — structural surfaces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Accent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--accent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#2B6CB0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10% — deep academic blue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Accent Light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--accent-light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#90CDF4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Hover, gradient start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Accent Dark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--accent-dark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#1A365D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Emphasis, gradient end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Text Primary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--text-primary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#0A0A0A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Near-black for max contrast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Text Secondary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--text-secondary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#333333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Supporting copy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Text Muted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--text-muted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#666666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Metadata, footnotes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Border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--border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#CCCCCC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Clean neutral dividers</w:t>
            </w:r>
          </w:p>
        </w:tc>
      </w:tr>
    </w:tbl>
    <w:p>
      <w:pPr>
        <w:spacing w:before="0" w:after="80"/>
      </w:pPr>
    </w:p>
    <w:p>
      <w:pPr>
        <w:pStyle w:val="Heading3"/>
        <w:spacing w:before="200" w:after="100"/>
      </w:pPr>
      <w:r>
        <w:rPr>
          <w:rFonts w:ascii="IBM Plex Sans" w:cs="IBM Plex Sans" w:eastAsia="IBM Plex Sans" w:hAnsi="IBM Plex Sans"/>
          <w:b/>
          <w:bCs/>
          <w:color w:val="1A365D"/>
          <w:sz w:val="22"/>
          <w:szCs w:val="22"/>
        </w:rPr>
        <w:t xml:space="preserve">Theme 3: WARMTH</w:t>
      </w:r>
    </w:p>
    <w:p>
      <w:pPr>
        <w:spacing w:before="0" w:after="100"/>
        <w:jc w:val="left"/>
      </w:pPr>
      <w:r>
        <w:rPr>
          <w:rFonts w:ascii="IBM Plex Sans" w:cs="IBM Plex Sans" w:eastAsia="IBM Plex Sans" w:hAnsi="IBM Plex Sans"/>
          <w:i/>
          <w:iCs/>
          <w:color w:val="888888"/>
          <w:sz w:val="20"/>
          <w:szCs w:val="20"/>
        </w:rPr>
        <w:t xml:space="preserve">Creative, inviting, earthy. Terracotta accent. For portfolios, creative briefs, and personal narratives.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560"/>
        <w:gridCol w:w="3800"/>
      </w:tblGrid>
      <w:tr>
        <w:trPr>
          <w:tblHeader/>
        </w:trP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1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1A365D"/>
                <w:sz w:val="18"/>
                <w:szCs w:val="18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1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1A365D"/>
                <w:sz w:val="18"/>
                <w:szCs w:val="18"/>
              </w:rPr>
              <w:t xml:space="preserve">Token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1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1A365D"/>
                <w:sz w:val="18"/>
                <w:szCs w:val="18"/>
              </w:rPr>
              <w:t xml:space="preserve">Hex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1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1A365D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Primary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--primary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#FAFAFA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60% — soft warm white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Secondary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--secondary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#F2F2F0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30% — warm gray surfaces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Accent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--accent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#E07A5F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10% — terracotta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Accent Light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--accent-light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#F2B8A4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Warm hover states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Accent Dark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--accent-dark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#9C4431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Deep warm emphasis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Text Primary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--text-primary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#1A1A1A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Warm near-black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Text Muted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--text-muted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#7A7A7A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Subdued copy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Border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--border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#E0E0E0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Warm light border</w:t>
            </w:r>
          </w:p>
        </w:tc>
      </w:tr>
    </w:tbl>
    <w:p>
      <w:pPr>
        <w:spacing w:before="0" w:after="80"/>
      </w:pPr>
    </w:p>
    <w:p>
      <w:pPr>
        <w:pStyle w:val="Heading3"/>
        <w:spacing w:before="200" w:after="100"/>
      </w:pPr>
      <w:r>
        <w:rPr>
          <w:rFonts w:ascii="IBM Plex Sans" w:cs="IBM Plex Sans" w:eastAsia="IBM Plex Sans" w:hAnsi="IBM Plex Sans"/>
          <w:b/>
          <w:bCs/>
          <w:color w:val="1A365D"/>
          <w:sz w:val="22"/>
          <w:szCs w:val="22"/>
        </w:rPr>
        <w:t xml:space="preserve">Theme 4: NIGHTFALL</w:t>
      </w:r>
    </w:p>
    <w:p>
      <w:pPr>
        <w:spacing w:before="0" w:after="100"/>
        <w:jc w:val="left"/>
      </w:pPr>
      <w:r>
        <w:rPr>
          <w:rFonts w:ascii="IBM Plex Sans" w:cs="IBM Plex Sans" w:eastAsia="IBM Plex Sans" w:hAnsi="IBM Plex Sans"/>
          <w:i/>
          <w:iCs/>
          <w:color w:val="888888"/>
          <w:sz w:val="20"/>
          <w:szCs w:val="20"/>
        </w:rPr>
        <w:t xml:space="preserve">Dark mode. Atmospheric, modern. Violet accent. For late-night work sessions and dark UI builds.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560"/>
        <w:gridCol w:w="3800"/>
      </w:tblGrid>
      <w:tr>
        <w:trPr>
          <w:tblHeader/>
        </w:trP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1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1A365D"/>
                <w:sz w:val="18"/>
                <w:szCs w:val="18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1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1A365D"/>
                <w:sz w:val="18"/>
                <w:szCs w:val="18"/>
              </w:rPr>
              <w:t xml:space="preserve">Token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1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1A365D"/>
                <w:sz w:val="18"/>
                <w:szCs w:val="18"/>
              </w:rPr>
              <w:t xml:space="preserve">Hex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1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1A365D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Primary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--primary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#111111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60% — deep background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Secondary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--secondary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#1E1E1E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30% — elevated surfaces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Accent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--accent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#8B5CF6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10% — violet highlight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Accent Light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--accent-light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#C4B5FD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Soft violet hover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Accent Dark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--accent-dark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#4C1D95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Deep violet emphasis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Text Primary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--text-primary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#FFFFFF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Light text on dark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Text Muted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--text-muted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#AAAAAA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Subdued secondary copy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Border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--border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#2C2C2C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Dark subtle divider</w:t>
            </w:r>
          </w:p>
        </w:tc>
      </w:tr>
    </w:tbl>
    <w:p>
      <w:pPr>
        <w:spacing w:before="0" w:after="80"/>
      </w:pPr>
    </w:p>
    <w:p>
      <w:pPr>
        <w:pStyle w:val="Heading2"/>
        <w:spacing w:before="280" w:after="120"/>
      </w:pPr>
      <w:r>
        <w:rPr>
          <w:rFonts w:ascii="Libre Baskerville" w:cs="Libre Baskerville" w:eastAsia="Libre Baskerville" w:hAnsi="Libre Baskerville"/>
          <w:b/>
          <w:bCs/>
          <w:color w:val="2B6CB0"/>
          <w:sz w:val="26"/>
          <w:szCs w:val="26"/>
        </w:rPr>
        <w:t xml:space="preserve">1.2 The 60/30/10 Law</w:t>
      </w:r>
    </w:p>
    <w:p>
      <w:pPr>
        <w:pBdr>
          <w:left w:val="single" w:color="2B6CB0" w:sz="12" w:space="12"/>
        </w:pBdr>
        <w:shd w:fill="EBF4FF" w:val="clear"/>
        <w:spacing w:before="120" w:after="120"/>
        <w:ind w:left="540"/>
      </w:pPr>
      <w:r>
        <w:rPr>
          <w:rFonts w:ascii="Libre Baskerville" w:cs="Libre Baskerville" w:eastAsia="Libre Baskerville" w:hAnsi="Libre Baskerville"/>
          <w:i/>
          <w:iCs/>
          <w:color w:val="1A365D"/>
          <w:sz w:val="20"/>
          <w:szCs w:val="20"/>
        </w:rPr>
        <w:t xml:space="preserve">Primary (60%) → Base canvas. Secondary (30%) → Structure. Accent (10%) → Signal.</w:t>
      </w:r>
    </w:p>
    <w:p>
      <w:pPr>
        <w:pStyle w:val="Heading3"/>
        <w:spacing w:before="200" w:after="100"/>
      </w:pPr>
      <w:r>
        <w:rPr>
          <w:rFonts w:ascii="IBM Plex Sans" w:cs="IBM Plex Sans" w:eastAsia="IBM Plex Sans" w:hAnsi="IBM Plex Sans"/>
          <w:b/>
          <w:bCs/>
          <w:color w:val="1A365D"/>
          <w:sz w:val="22"/>
          <w:szCs w:val="22"/>
        </w:rPr>
        <w:t xml:space="preserve">Violations to Avoid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BM Plex Sans" w:cs="IBM Plex Sans" w:eastAsia="IBM Plex Sans" w:hAnsi="IBM Plex Sans"/>
          <w:color w:val="0A0A0A"/>
          <w:sz w:val="20"/>
          <w:szCs w:val="20"/>
        </w:rPr>
        <w:t xml:space="preserve">Accent used for large background blocks → forbidden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BM Plex Sans" w:cs="IBM Plex Sans" w:eastAsia="IBM Plex Sans" w:hAnsi="IBM Plex Sans"/>
          <w:color w:val="0A0A0A"/>
          <w:sz w:val="20"/>
          <w:szCs w:val="20"/>
        </w:rPr>
        <w:t xml:space="preserve">Secondary used as heading text color → forbidden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BM Plex Sans" w:cs="IBM Plex Sans" w:eastAsia="IBM Plex Sans" w:hAnsi="IBM Plex Sans"/>
          <w:color w:val="0A0A0A"/>
          <w:sz w:val="20"/>
          <w:szCs w:val="20"/>
        </w:rPr>
        <w:t xml:space="preserve">Multiple competing accent colors in one composition → forbidden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BM Plex Sans" w:cs="IBM Plex Sans" w:eastAsia="IBM Plex Sans" w:hAnsi="IBM Plex Sans"/>
          <w:color w:val="0A0A0A"/>
          <w:sz w:val="20"/>
          <w:szCs w:val="20"/>
        </w:rPr>
        <w:t xml:space="preserve">Accent exceeding 15% of visible area → flag for review</w:t>
      </w:r>
    </w:p>
    <w:p>
      <w:pPr>
        <w:spacing w:before="0" w:after="80"/>
      </w:pPr>
    </w:p>
    <w:p>
      <w:pPr>
        <w:pStyle w:val="Heading2"/>
        <w:spacing w:before="280" w:after="120"/>
      </w:pPr>
      <w:r>
        <w:rPr>
          <w:rFonts w:ascii="Libre Baskerville" w:cs="Libre Baskerville" w:eastAsia="Libre Baskerville" w:hAnsi="Libre Baskerville"/>
          <w:b/>
          <w:bCs/>
          <w:color w:val="2B6CB0"/>
          <w:sz w:val="26"/>
          <w:szCs w:val="26"/>
        </w:rPr>
        <w:t xml:space="preserve">1.3 Exceptional Color Protocol (Echelon Rule)</w:t>
      </w:r>
    </w:p>
    <w:p>
      <w:pPr>
        <w:spacing w:before="0" w:after="100"/>
        <w:jc w:val="left"/>
      </w:pPr>
      <w:r>
        <w:rPr>
          <w:rFonts w:ascii="IBM Plex Sans" w:cs="IBM Plex Sans" w:eastAsia="IBM Plex Sans" w:hAnsi="IBM Plex Sans"/>
          <w:color w:val="0A0A0A"/>
          <w:sz w:val="20"/>
          <w:szCs w:val="20"/>
        </w:rPr>
        <w:t xml:space="preserve">In FOCUS theme only, #E07A5F (terracotta) is reserved for &lt; 1% of composition area.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BM Plex Sans" w:cs="IBM Plex Sans" w:eastAsia="IBM Plex Sans" w:hAnsi="IBM Plex Sans"/>
          <w:color w:val="0A0A0A"/>
          <w:sz w:val="20"/>
          <w:szCs w:val="20"/>
        </w:rPr>
        <w:t xml:space="preserve">Permitted: alert banners, critical callouts, personal signature marks, philosophical quote highlights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BM Plex Sans" w:cs="IBM Plex Sans" w:eastAsia="IBM Plex Sans" w:hAnsi="IBM Plex Sans"/>
          <w:color w:val="0A0A0A"/>
          <w:sz w:val="20"/>
          <w:szCs w:val="20"/>
        </w:rPr>
        <w:t xml:space="preserve">Forbidden: as background color; as body text color</w:t>
      </w:r>
    </w:p>
    <w:p>
      <w:pPr>
        <w:spacing w:before="0" w:after="80"/>
      </w:pPr>
    </w:p>
    <w:p>
      <w:pPr>
        <w:pStyle w:val="Heading1"/>
        <w:pBdr>
          <w:bottom w:val="single" w:color="2B6CB0" w:sz="8" w:space="6"/>
        </w:pBdr>
        <w:spacing w:before="400" w:after="180"/>
      </w:pPr>
      <w:r>
        <w:rPr>
          <w:rFonts w:ascii="Libre Baskerville" w:cs="Libre Baskerville" w:eastAsia="Libre Baskerville" w:hAnsi="Libre Baskerville"/>
          <w:b/>
          <w:bCs/>
          <w:color w:val="1A365D"/>
          <w:sz w:val="36"/>
          <w:szCs w:val="36"/>
        </w:rPr>
        <w:t xml:space="preserve">PART II — TYPOGRAPHY SYSTEM</w:t>
      </w:r>
    </w:p>
    <w:p>
      <w:pPr>
        <w:pStyle w:val="Heading2"/>
        <w:spacing w:before="280" w:after="120"/>
      </w:pPr>
      <w:r>
        <w:rPr>
          <w:rFonts w:ascii="Libre Baskerville" w:cs="Libre Baskerville" w:eastAsia="Libre Baskerville" w:hAnsi="Libre Baskerville"/>
          <w:b/>
          <w:bCs/>
          <w:color w:val="2B6CB0"/>
          <w:sz w:val="26"/>
          <w:szCs w:val="26"/>
        </w:rPr>
        <w:t xml:space="preserve">2.1 Font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3560"/>
      </w:tblGrid>
      <w:tr>
        <w:trPr>
          <w:tblHeader/>
        </w:trP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1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1A365D"/>
                <w:sz w:val="18"/>
                <w:szCs w:val="18"/>
              </w:rPr>
              <w:t xml:space="preserve">Role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1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1A365D"/>
                <w:sz w:val="18"/>
                <w:szCs w:val="18"/>
              </w:rPr>
              <w:t xml:space="preserve">Font Stack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1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1A365D"/>
                <w:sz w:val="18"/>
                <w:szCs w:val="18"/>
              </w:rPr>
              <w:t xml:space="preserve">Context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Sans (UI)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IBM Plex Sans, Helvetica Neue, Arial, sans-serif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UI, headings, slides, captions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Serif (Academic)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Libre Baskerville, Merriweather, Georgia, serif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Academic body, long-form, citations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Monospace</w:t>
            </w:r>
          </w:p>
        </w:tc>
        <w:tc>
          <w:tcPr>
            <w:tcW w:type="dxa" w:w="4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Fira Code, Consolas, monospace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Code, algorithms, formulas, data tables</w:t>
            </w:r>
          </w:p>
        </w:tc>
      </w:tr>
    </w:tbl>
    <w:p>
      <w:pPr>
        <w:spacing w:before="0" w:after="80"/>
      </w:pPr>
    </w:p>
    <w:p>
      <w:pPr>
        <w:pStyle w:val="Heading2"/>
        <w:spacing w:before="280" w:after="120"/>
      </w:pPr>
      <w:r>
        <w:rPr>
          <w:rFonts w:ascii="Libre Baskerville" w:cs="Libre Baskerville" w:eastAsia="Libre Baskerville" w:hAnsi="Libre Baskerville"/>
          <w:b/>
          <w:bCs/>
          <w:color w:val="2B6CB0"/>
          <w:sz w:val="26"/>
          <w:szCs w:val="26"/>
        </w:rPr>
        <w:t xml:space="preserve">2.2 Type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800"/>
        <w:gridCol w:w="4160"/>
      </w:tblGrid>
      <w:tr>
        <w:trPr>
          <w:tblHeader/>
        </w:trP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1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1A365D"/>
                <w:sz w:val="18"/>
                <w:szCs w:val="18"/>
              </w:rPr>
              <w:t xml:space="preserve">Token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1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1A365D"/>
                <w:sz w:val="18"/>
                <w:szCs w:val="18"/>
              </w:rPr>
              <w:t xml:space="preserve">Size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1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1A365D"/>
                <w:sz w:val="18"/>
                <w:szCs w:val="18"/>
              </w:rPr>
              <w:t xml:space="preserve">px Equivalent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1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1A365D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--fs-xs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0.75rem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12px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Footnotes, legal text, metadata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--fs-sm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0.875rem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14px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Captions, labels, secondary text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--fs-base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1rem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16px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Body text default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--fs-md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1.125rem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18px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Emphasized body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--fs-lg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1.25rem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20px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Subheadings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--fs-xl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1.5rem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24px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Section headings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--fs-2xl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2rem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32px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Major headings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--fs-3xl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2.75–3rem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44–48px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Hero titles, slide covers</w:t>
            </w:r>
          </w:p>
        </w:tc>
      </w:tr>
    </w:tbl>
    <w:p>
      <w:pPr>
        <w:spacing w:before="0" w:after="80"/>
      </w:pPr>
    </w:p>
    <w:p>
      <w:pPr>
        <w:pStyle w:val="Heading2"/>
        <w:spacing w:before="280" w:after="120"/>
      </w:pPr>
      <w:r>
        <w:rPr>
          <w:rFonts w:ascii="Libre Baskerville" w:cs="Libre Baskerville" w:eastAsia="Libre Baskerville" w:hAnsi="Libre Baskerville"/>
          <w:b/>
          <w:bCs/>
          <w:color w:val="2B6CB0"/>
          <w:sz w:val="26"/>
          <w:szCs w:val="26"/>
        </w:rPr>
        <w:t xml:space="preserve">2.3 Typography Regulations by Medium</w:t>
      </w:r>
    </w:p>
    <w:p>
      <w:pPr>
        <w:pStyle w:val="Heading3"/>
        <w:spacing w:before="200" w:after="100"/>
      </w:pPr>
      <w:r>
        <w:rPr>
          <w:rFonts w:ascii="IBM Plex Sans" w:cs="IBM Plex Sans" w:eastAsia="IBM Plex Sans" w:hAnsi="IBM Plex Sans"/>
          <w:b/>
          <w:bCs/>
          <w:color w:val="1A365D"/>
          <w:sz w:val="22"/>
          <w:szCs w:val="22"/>
        </w:rPr>
        <w:t xml:space="preserve">Academic Documents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BM Plex Sans" w:cs="IBM Plex Sans" w:eastAsia="IBM Plex Sans" w:hAnsi="IBM Plex Sans"/>
          <w:color w:val="0A0A0A"/>
          <w:sz w:val="20"/>
          <w:szCs w:val="20"/>
        </w:rPr>
        <w:t xml:space="preserve">Body: Serif (Libre Baskerville), 11–12pt / 1rem, line-height 1.6–1.7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BM Plex Sans" w:cs="IBM Plex Sans" w:eastAsia="IBM Plex Sans" w:hAnsi="IBM Plex Sans"/>
          <w:color w:val="0A0A0A"/>
          <w:sz w:val="20"/>
          <w:szCs w:val="20"/>
        </w:rPr>
        <w:t xml:space="preserve">Headings: Sans or Serif Bold at --fs-xl to --fs-2xl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BM Plex Sans" w:cs="IBM Plex Sans" w:eastAsia="IBM Plex Sans" w:hAnsi="IBM Plex Sans"/>
          <w:color w:val="0A0A0A"/>
          <w:sz w:val="20"/>
          <w:szCs w:val="20"/>
        </w:rPr>
        <w:t xml:space="preserve">Citations &amp; footnotes: Serif, --fs-xs to --fs-sm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BM Plex Sans" w:cs="IBM Plex Sans" w:eastAsia="IBM Plex Sans" w:hAnsi="IBM Plex Sans"/>
          <w:color w:val="0A0A0A"/>
          <w:sz w:val="20"/>
          <w:szCs w:val="20"/>
        </w:rPr>
        <w:t xml:space="preserve">Code/formula: Monospace, --fs-sm to --fs-base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BM Plex Sans" w:cs="IBM Plex Sans" w:eastAsia="IBM Plex Sans" w:hAnsi="IBM Plex Sans"/>
          <w:color w:val="0A0A0A"/>
          <w:sz w:val="20"/>
          <w:szCs w:val="20"/>
        </w:rPr>
        <w:t xml:space="preserve">Title page: Centered, Serif Bold --fs-3xl, author block below</w:t>
      </w:r>
    </w:p>
    <w:p>
      <w:pPr>
        <w:pStyle w:val="Heading3"/>
        <w:spacing w:before="200" w:after="100"/>
      </w:pPr>
      <w:r>
        <w:rPr>
          <w:rFonts w:ascii="IBM Plex Sans" w:cs="IBM Plex Sans" w:eastAsia="IBM Plex Sans" w:hAnsi="IBM Plex Sans"/>
          <w:b/>
          <w:bCs/>
          <w:color w:val="1A365D"/>
          <w:sz w:val="22"/>
          <w:szCs w:val="22"/>
        </w:rPr>
        <w:t xml:space="preserve">Presentations / Slides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BM Plex Sans" w:cs="IBM Plex Sans" w:eastAsia="IBM Plex Sans" w:hAnsi="IBM Plex Sans"/>
          <w:color w:val="0A0A0A"/>
          <w:sz w:val="20"/>
          <w:szCs w:val="20"/>
        </w:rPr>
        <w:t xml:space="preserve">Titles: Sans-serif Bold, --fs-2xl to --fs-3xl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BM Plex Sans" w:cs="IBM Plex Sans" w:eastAsia="IBM Plex Sans" w:hAnsi="IBM Plex Sans"/>
          <w:color w:val="0A0A0A"/>
          <w:sz w:val="20"/>
          <w:szCs w:val="20"/>
        </w:rPr>
        <w:t xml:space="preserve">Body/bullets: Sans-serif Regular, --fs-base to --fs-lg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BM Plex Sans" w:cs="IBM Plex Sans" w:eastAsia="IBM Plex Sans" w:hAnsi="IBM Plex Sans"/>
          <w:color w:val="0A0A0A"/>
          <w:sz w:val="20"/>
          <w:szCs w:val="20"/>
        </w:rPr>
        <w:t xml:space="preserve">Word limit: ≤ 30 words per slide</w:t>
      </w:r>
    </w:p>
    <w:p>
      <w:pPr>
        <w:pStyle w:val="Heading3"/>
        <w:spacing w:before="200" w:after="100"/>
      </w:pPr>
      <w:r>
        <w:rPr>
          <w:rFonts w:ascii="IBM Plex Sans" w:cs="IBM Plex Sans" w:eastAsia="IBM Plex Sans" w:hAnsi="IBM Plex Sans"/>
          <w:b/>
          <w:bCs/>
          <w:color w:val="1A365D"/>
          <w:sz w:val="22"/>
          <w:szCs w:val="22"/>
        </w:rPr>
        <w:t xml:space="preserve">Web UI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BM Plex Sans" w:cs="IBM Plex Sans" w:eastAsia="IBM Plex Sans" w:hAnsi="IBM Plex Sans"/>
          <w:color w:val="0A0A0A"/>
          <w:sz w:val="20"/>
          <w:szCs w:val="20"/>
        </w:rPr>
        <w:t xml:space="preserve">Headings &amp; body: Sans-serif (IBM Plex Sans)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BM Plex Sans" w:cs="IBM Plex Sans" w:eastAsia="IBM Plex Sans" w:hAnsi="IBM Plex Sans"/>
          <w:color w:val="0A0A0A"/>
          <w:sz w:val="20"/>
          <w:szCs w:val="20"/>
        </w:rPr>
        <w:t xml:space="preserve">Form labels: Sans-serif --fs-sm, weight 600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BM Plex Sans" w:cs="IBM Plex Sans" w:eastAsia="IBM Plex Sans" w:hAnsi="IBM Plex Sans"/>
          <w:color w:val="0A0A0A"/>
          <w:sz w:val="20"/>
          <w:szCs w:val="20"/>
        </w:rPr>
        <w:t xml:space="preserve">Code/data: Monospace only</w:t>
      </w:r>
    </w:p>
    <w:p>
      <w:pPr>
        <w:spacing w:before="0" w:after="80"/>
      </w:pPr>
    </w:p>
    <w:p>
      <w:pPr>
        <w:pStyle w:val="Heading1"/>
        <w:pBdr>
          <w:bottom w:val="single" w:color="2B6CB0" w:sz="8" w:space="6"/>
        </w:pBdr>
        <w:spacing w:before="400" w:after="180"/>
      </w:pPr>
      <w:r>
        <w:rPr>
          <w:rFonts w:ascii="Libre Baskerville" w:cs="Libre Baskerville" w:eastAsia="Libre Baskerville" w:hAnsi="Libre Baskerville"/>
          <w:b/>
          <w:bCs/>
          <w:color w:val="1A365D"/>
          <w:sz w:val="36"/>
          <w:szCs w:val="36"/>
        </w:rPr>
        <w:t xml:space="preserve">PART III — LAYOUT &amp; SPACING</w:t>
      </w:r>
    </w:p>
    <w:p>
      <w:pPr>
        <w:pStyle w:val="Heading2"/>
        <w:spacing w:before="280" w:after="120"/>
      </w:pPr>
      <w:r>
        <w:rPr>
          <w:rFonts w:ascii="Libre Baskerville" w:cs="Libre Baskerville" w:eastAsia="Libre Baskerville" w:hAnsi="Libre Baskerville"/>
          <w:b/>
          <w:bCs/>
          <w:color w:val="2B6CB0"/>
          <w:sz w:val="26"/>
          <w:szCs w:val="26"/>
        </w:rPr>
        <w:t xml:space="preserve">3.1 Spacing Scale — 4px Modular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rPr>
          <w:tblHeader/>
        </w:trP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1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1A365D"/>
                <w:sz w:val="18"/>
                <w:szCs w:val="18"/>
              </w:rPr>
              <w:t xml:space="preserve">Token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1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1A365D"/>
                <w:sz w:val="18"/>
                <w:szCs w:val="18"/>
              </w:rPr>
              <w:t xml:space="preserve">Value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1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1A365D"/>
                <w:sz w:val="18"/>
                <w:szCs w:val="18"/>
              </w:rPr>
              <w:t xml:space="preserve">Common Use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--space-xs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4px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Icon gaps, micro-padding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--space-sm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8px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Inline padding, list item gaps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--space-md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16px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Card padding, input padding, section gaps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--space-lg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24px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Major block margins, card-to-card gaps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--space-xl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32px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Section-to-section spacing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--space-2xl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48px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Major section dividers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--space-3xl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64px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Hero spacing, full-page section breaks</w:t>
            </w:r>
          </w:p>
        </w:tc>
      </w:tr>
    </w:tbl>
    <w:p>
      <w:pPr>
        <w:pBdr>
          <w:left w:val="single" w:color="2B6CB0" w:sz="12" w:space="12"/>
        </w:pBdr>
        <w:shd w:fill="EBF4FF" w:val="clear"/>
        <w:spacing w:before="120" w:after="120"/>
        <w:ind w:left="540"/>
      </w:pPr>
      <w:r>
        <w:rPr>
          <w:rFonts w:ascii="Libre Baskerville" w:cs="Libre Baskerville" w:eastAsia="Libre Baskerville" w:hAnsi="Libre Baskerville"/>
          <w:i/>
          <w:iCs/>
          <w:color w:val="1A365D"/>
          <w:sz w:val="20"/>
          <w:szCs w:val="20"/>
        </w:rPr>
        <w:t xml:space="preserve">Whitespace is structure, not emptiness. Minimum 16px padding on all major blocks.</w:t>
      </w:r>
    </w:p>
    <w:p>
      <w:pPr>
        <w:spacing w:before="0" w:after="80"/>
      </w:pPr>
    </w:p>
    <w:p>
      <w:pPr>
        <w:pStyle w:val="Heading2"/>
        <w:spacing w:before="280" w:after="120"/>
      </w:pPr>
      <w:r>
        <w:rPr>
          <w:rFonts w:ascii="Libre Baskerville" w:cs="Libre Baskerville" w:eastAsia="Libre Baskerville" w:hAnsi="Libre Baskerville"/>
          <w:b/>
          <w:bCs/>
          <w:color w:val="2B6CB0"/>
          <w:sz w:val="26"/>
          <w:szCs w:val="26"/>
        </w:rPr>
        <w:t xml:space="preserve">3.2 Grid 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BM Plex Sans" w:cs="IBM Plex Sans" w:eastAsia="IBM Plex Sans" w:hAnsi="IBM Plex Sans"/>
          <w:color w:val="0A0A0A"/>
          <w:sz w:val="20"/>
          <w:szCs w:val="20"/>
        </w:rPr>
        <w:t xml:space="preserve">Base: CSS Grid, 12-column where applicable; auto-fit / minmax(280px, 1fr) for fluid card grids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BM Plex Sans" w:cs="IBM Plex Sans" w:eastAsia="IBM Plex Sans" w:hAnsi="IBM Plex Sans"/>
          <w:color w:val="0A0A0A"/>
          <w:sz w:val="20"/>
          <w:szCs w:val="20"/>
        </w:rPr>
        <w:t xml:space="preserve">Container max-width: 1200px (documents); 1440px (full-width UI)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BM Plex Sans" w:cs="IBM Plex Sans" w:eastAsia="IBM Plex Sans" w:hAnsi="IBM Plex Sans"/>
          <w:color w:val="0A0A0A"/>
          <w:sz w:val="20"/>
          <w:szCs w:val="20"/>
        </w:rPr>
        <w:t xml:space="preserve">Academic: single-column center-aligned, max 720px text block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BM Plex Sans" w:cs="IBM Plex Sans" w:eastAsia="IBM Plex Sans" w:hAnsi="IBM Plex Sans"/>
          <w:color w:val="0A0A0A"/>
          <w:sz w:val="20"/>
          <w:szCs w:val="20"/>
        </w:rPr>
        <w:t xml:space="preserve">Slides: full-bleed, aspect-ratio 16:9 standard</w:t>
      </w:r>
    </w:p>
    <w:p>
      <w:pPr>
        <w:spacing w:before="0" w:after="80"/>
      </w:pPr>
    </w:p>
    <w:p>
      <w:pPr>
        <w:pStyle w:val="Heading2"/>
        <w:spacing w:before="280" w:after="120"/>
      </w:pPr>
      <w:r>
        <w:rPr>
          <w:rFonts w:ascii="Libre Baskerville" w:cs="Libre Baskerville" w:eastAsia="Libre Baskerville" w:hAnsi="Libre Baskerville"/>
          <w:b/>
          <w:bCs/>
          <w:color w:val="2B6CB0"/>
          <w:sz w:val="26"/>
          <w:szCs w:val="26"/>
        </w:rPr>
        <w:t xml:space="preserve">3.3 Responsive Breakpoints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1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1A365D"/>
                <w:sz w:val="18"/>
                <w:szCs w:val="18"/>
              </w:rPr>
              <w:t xml:space="preserve">Label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1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1A365D"/>
                <w:sz w:val="18"/>
                <w:szCs w:val="18"/>
              </w:rPr>
              <w:t xml:space="preserve">Width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1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1A365D"/>
                <w:sz w:val="18"/>
                <w:szCs w:val="18"/>
              </w:rPr>
              <w:t xml:space="preserve">Adaptation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Mobile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≤ 480px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Single column, stacked nav, font-size 0.9rem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Tablet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481–768px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2-column max, collapsible panels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Desktop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769–1200px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Full layout, standard padding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Wide Desktop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&gt; 1200px</w:t>
            </w:r>
          </w:p>
        </w:tc>
        <w:tc>
          <w:tcPr>
            <w:tcW w:type="dxa" w:w="5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Extended grid, wider gutters</w:t>
            </w:r>
          </w:p>
        </w:tc>
      </w:tr>
    </w:tbl>
    <w:p>
      <w:pPr>
        <w:spacing w:before="0" w:after="80"/>
      </w:pPr>
    </w:p>
    <w:p>
      <w:pPr>
        <w:pStyle w:val="Heading1"/>
        <w:pBdr>
          <w:bottom w:val="single" w:color="2B6CB0" w:sz="8" w:space="6"/>
        </w:pBdr>
        <w:spacing w:before="400" w:after="180"/>
      </w:pPr>
      <w:r>
        <w:rPr>
          <w:rFonts w:ascii="Libre Baskerville" w:cs="Libre Baskerville" w:eastAsia="Libre Baskerville" w:hAnsi="Libre Baskerville"/>
          <w:b/>
          <w:bCs/>
          <w:color w:val="1A365D"/>
          <w:sz w:val="36"/>
          <w:szCs w:val="36"/>
        </w:rPr>
        <w:t xml:space="preserve">PART IV — SURFACE STYLES (MORPHISM SYSTEM)</w:t>
      </w:r>
    </w:p>
    <w:p>
      <w:pPr>
        <w:spacing w:before="0" w:after="100"/>
        <w:jc w:val="left"/>
      </w:pPr>
      <w:r>
        <w:rPr>
          <w:rFonts w:ascii="IBM Plex Sans" w:cs="IBM Plex Sans" w:eastAsia="IBM Plex Sans" w:hAnsi="IBM Plex Sans"/>
          <w:color w:val="0A0A0A"/>
          <w:sz w:val="20"/>
          <w:szCs w:val="20"/>
        </w:rPr>
        <w:t xml:space="preserve">Five surface styles, each context-appropriate. Soft-Morphism is the canonical default across all contexts.</w:t>
      </w:r>
    </w:p>
    <w:p>
      <w:pPr>
        <w:spacing w:before="0" w:after="80"/>
      </w:pPr>
    </w:p>
    <w:p>
      <w:pPr>
        <w:pStyle w:val="Heading2"/>
        <w:spacing w:before="280" w:after="120"/>
      </w:pPr>
      <w:r>
        <w:rPr>
          <w:rFonts w:ascii="Libre Baskerville" w:cs="Libre Baskerville" w:eastAsia="Libre Baskerville" w:hAnsi="Libre Baskerville"/>
          <w:b/>
          <w:bCs/>
          <w:color w:val="2B6CB0"/>
          <w:sz w:val="26"/>
          <w:szCs w:val="26"/>
        </w:rPr>
        <w:t xml:space="preserve">4.1 Soft-Morphism (Default)</w:t>
      </w:r>
    </w:p>
    <w:p>
      <w:pPr>
        <w:spacing w:before="0" w:after="100"/>
        <w:jc w:val="left"/>
      </w:pPr>
      <w:r>
        <w:rPr>
          <w:rFonts w:ascii="Fira Code" w:cs="Fira Code" w:eastAsia="Fira Code" w:hAnsi="Fira Code"/>
          <w:color w:val="1A365D"/>
          <w:sz w:val="18"/>
          <w:szCs w:val="18"/>
        </w:rPr>
        <w:t xml:space="preserve">border-radius: 16px;  border: 1px solid var(--border);</w:t>
      </w:r>
    </w:p>
    <w:p>
      <w:pPr>
        <w:spacing w:before="0" w:after="100"/>
        <w:jc w:val="left"/>
      </w:pPr>
      <w:r>
        <w:rPr>
          <w:rFonts w:ascii="Fira Code" w:cs="Fira Code" w:eastAsia="Fira Code" w:hAnsi="Fira Code"/>
          <w:color w:val="1A365D"/>
          <w:sz w:val="18"/>
          <w:szCs w:val="18"/>
        </w:rPr>
        <w:t xml:space="preserve">box-shadow: 0 4px 12px rgba(0,0,0,0.08);</w:t>
      </w:r>
    </w:p>
    <w:p>
      <w:pPr>
        <w:spacing w:before="0" w:after="100"/>
        <w:jc w:val="left"/>
      </w:pPr>
      <w:r>
        <w:rPr>
          <w:rFonts w:ascii="Fira Code" w:cs="Fira Code" w:eastAsia="Fira Code" w:hAnsi="Fira Code"/>
          <w:color w:val="1A365D"/>
          <w:sz w:val="18"/>
          <w:szCs w:val="18"/>
        </w:rPr>
        <w:t xml:space="preserve">/* Hover */ transform: translateY(-4px);  box-shadow: 0 8px 20px rgba(0,0,0,0.12);</w:t>
      </w:r>
    </w:p>
    <w:p>
      <w:pPr>
        <w:spacing w:before="0" w:after="80"/>
      </w:pPr>
    </w:p>
    <w:p>
      <w:pPr>
        <w:pStyle w:val="Heading2"/>
        <w:spacing w:before="280" w:after="120"/>
      </w:pPr>
      <w:r>
        <w:rPr>
          <w:rFonts w:ascii="Libre Baskerville" w:cs="Libre Baskerville" w:eastAsia="Libre Baskerville" w:hAnsi="Libre Baskerville"/>
          <w:b/>
          <w:bCs/>
          <w:color w:val="2B6CB0"/>
          <w:sz w:val="26"/>
          <w:szCs w:val="26"/>
        </w:rPr>
        <w:t xml:space="preserve">4.2 Glassmorphism — Dashboards, Modals</w:t>
      </w:r>
    </w:p>
    <w:p>
      <w:pPr>
        <w:spacing w:before="0" w:after="100"/>
        <w:jc w:val="left"/>
      </w:pPr>
      <w:r>
        <w:rPr>
          <w:rFonts w:ascii="Fira Code" w:cs="Fira Code" w:eastAsia="Fira Code" w:hAnsi="Fira Code"/>
          <w:color w:val="1A365D"/>
          <w:sz w:val="18"/>
          <w:szCs w:val="18"/>
        </w:rPr>
        <w:t xml:space="preserve">background: rgba(255,255,255,0.25);  backdrop-filter: blur(10px);</w:t>
      </w:r>
    </w:p>
    <w:p>
      <w:pPr>
        <w:spacing w:before="0" w:after="100"/>
        <w:jc w:val="left"/>
      </w:pPr>
      <w:r>
        <w:rPr>
          <w:rFonts w:ascii="Fira Code" w:cs="Fira Code" w:eastAsia="Fira Code" w:hAnsi="Fira Code"/>
          <w:color w:val="1A365D"/>
          <w:sz w:val="18"/>
          <w:szCs w:val="18"/>
        </w:rPr>
        <w:t xml:space="preserve">box-shadow: 0 8px 32px 0 rgba(31,38,135,0.37);  border-radius: 16px;</w:t>
      </w:r>
    </w:p>
    <w:p>
      <w:pPr>
        <w:pBdr>
          <w:left w:val="single" w:color="2B6CB0" w:sz="12" w:space="12"/>
        </w:pBdr>
        <w:shd w:fill="EBF4FF" w:val="clear"/>
        <w:spacing w:before="120" w:after="120"/>
        <w:ind w:left="540"/>
      </w:pPr>
      <w:r>
        <w:rPr>
          <w:rFonts w:ascii="Libre Baskerville" w:cs="Libre Baskerville" w:eastAsia="Libre Baskerville" w:hAnsi="Libre Baskerville"/>
          <w:i/>
          <w:iCs/>
          <w:color w:val="1A365D"/>
          <w:sz w:val="20"/>
          <w:szCs w:val="20"/>
        </w:rPr>
        <w:t xml:space="preserve">Accessibility gate: Text contrast ≥ 4.5:1 must be verified on blurred backgrounds.</w:t>
      </w:r>
    </w:p>
    <w:p>
      <w:pPr>
        <w:spacing w:before="0" w:after="80"/>
      </w:pPr>
    </w:p>
    <w:p>
      <w:pPr>
        <w:pStyle w:val="Heading2"/>
        <w:spacing w:before="280" w:after="120"/>
      </w:pPr>
      <w:r>
        <w:rPr>
          <w:rFonts w:ascii="Libre Baskerville" w:cs="Libre Baskerville" w:eastAsia="Libre Baskerville" w:hAnsi="Libre Baskerville"/>
          <w:b/>
          <w:bCs/>
          <w:color w:val="2B6CB0"/>
          <w:sz w:val="26"/>
          <w:szCs w:val="26"/>
        </w:rPr>
        <w:t xml:space="preserve">4.3 Neumorphism — Inputs, Toggles, Tactile Controls</w:t>
      </w:r>
    </w:p>
    <w:p>
      <w:pPr>
        <w:spacing w:before="0" w:after="100"/>
        <w:jc w:val="left"/>
      </w:pPr>
      <w:r>
        <w:rPr>
          <w:rFonts w:ascii="Fira Code" w:cs="Fira Code" w:eastAsia="Fira Code" w:hAnsi="Fira Code"/>
          <w:color w:val="1A365D"/>
          <w:sz w:val="18"/>
          <w:szCs w:val="18"/>
        </w:rPr>
        <w:t xml:space="preserve">/* Raised */ box-shadow: 6px 6px 12px #bebebe, -6px -6px 12px #ffffff;</w:t>
      </w:r>
    </w:p>
    <w:p>
      <w:pPr>
        <w:spacing w:before="0" w:after="100"/>
        <w:jc w:val="left"/>
      </w:pPr>
      <w:r>
        <w:rPr>
          <w:rFonts w:ascii="Fira Code" w:cs="Fira Code" w:eastAsia="Fira Code" w:hAnsi="Fira Code"/>
          <w:color w:val="1A365D"/>
          <w:sz w:val="18"/>
          <w:szCs w:val="18"/>
        </w:rPr>
        <w:t xml:space="preserve">/* Pressed */ box-shadow: inset 6px 6px 12px #bebebe, inset -6px -6px 12px #ffffff;</w:t>
      </w:r>
    </w:p>
    <w:p>
      <w:pPr>
        <w:spacing w:before="0" w:after="80"/>
      </w:pPr>
    </w:p>
    <w:p>
      <w:pPr>
        <w:pStyle w:val="Heading2"/>
        <w:spacing w:before="280" w:after="120"/>
      </w:pPr>
      <w:r>
        <w:rPr>
          <w:rFonts w:ascii="Libre Baskerville" w:cs="Libre Baskerville" w:eastAsia="Libre Baskerville" w:hAnsi="Libre Baskerville"/>
          <w:b/>
          <w:bCs/>
          <w:color w:val="2B6CB0"/>
          <w:sz w:val="26"/>
          <w:szCs w:val="26"/>
        </w:rPr>
        <w:t xml:space="preserve">4.4 Claymorphism — Consumer Cards, Creative UI</w:t>
      </w:r>
    </w:p>
    <w:p>
      <w:pPr>
        <w:spacing w:before="0" w:after="100"/>
        <w:jc w:val="left"/>
      </w:pPr>
      <w:r>
        <w:rPr>
          <w:rFonts w:ascii="Fira Code" w:cs="Fira Code" w:eastAsia="Fira Code" w:hAnsi="Fira Code"/>
          <w:color w:val="1A365D"/>
          <w:sz w:val="18"/>
          <w:szCs w:val="18"/>
        </w:rPr>
        <w:t xml:space="preserve">background: #FFFFFF;  border-radius: 24px;  box-shadow: 0 6px 16px rgba(0,0,0,0.15);</w:t>
      </w:r>
    </w:p>
    <w:p>
      <w:pPr>
        <w:spacing w:before="0" w:after="80"/>
      </w:pPr>
    </w:p>
    <w:p>
      <w:pPr>
        <w:pStyle w:val="Heading2"/>
        <w:spacing w:before="280" w:after="120"/>
      </w:pPr>
      <w:r>
        <w:rPr>
          <w:rFonts w:ascii="Libre Baskerville" w:cs="Libre Baskerville" w:eastAsia="Libre Baskerville" w:hAnsi="Libre Baskerville"/>
          <w:b/>
          <w:bCs/>
          <w:color w:val="2B6CB0"/>
          <w:sz w:val="26"/>
          <w:szCs w:val="26"/>
        </w:rPr>
        <w:t xml:space="preserve">4.5 Academic / Document — Flat</w:t>
      </w:r>
    </w:p>
    <w:p>
      <w:pPr>
        <w:spacing w:before="0" w:after="100"/>
        <w:jc w:val="left"/>
      </w:pPr>
      <w:r>
        <w:rPr>
          <w:rFonts w:ascii="Fira Code" w:cs="Fira Code" w:eastAsia="Fira Code" w:hAnsi="Fira Code"/>
          <w:color w:val="1A365D"/>
          <w:sz w:val="18"/>
          <w:szCs w:val="18"/>
        </w:rPr>
        <w:t xml:space="preserve">border-radius: 4px;  border: 1px solid #D0D0D0;  box-shadow: none;</w:t>
      </w:r>
    </w:p>
    <w:p>
      <w:pPr>
        <w:spacing w:before="0" w:after="100"/>
        <w:jc w:val="left"/>
      </w:pPr>
      <w:r>
        <w:rPr>
          <w:rFonts w:ascii="IBM Plex Sans" w:cs="IBM Plex Sans" w:eastAsia="IBM Plex Sans" w:hAnsi="IBM Plex Sans"/>
          <w:i/>
          <w:iCs/>
          <w:color w:val="888888"/>
          <w:sz w:val="20"/>
          <w:szCs w:val="20"/>
        </w:rPr>
        <w:t xml:space="preserve">No hover effects. No transitions. Static and authoritative.</w:t>
      </w:r>
    </w:p>
    <w:p>
      <w:pPr>
        <w:spacing w:before="0" w:after="80"/>
      </w:pPr>
    </w:p>
    <w:p>
      <w:pPr>
        <w:pStyle w:val="Heading1"/>
        <w:pBdr>
          <w:bottom w:val="single" w:color="2B6CB0" w:sz="8" w:space="6"/>
        </w:pBdr>
        <w:spacing w:before="400" w:after="180"/>
      </w:pPr>
      <w:r>
        <w:rPr>
          <w:rFonts w:ascii="Libre Baskerville" w:cs="Libre Baskerville" w:eastAsia="Libre Baskerville" w:hAnsi="Libre Baskerville"/>
          <w:b/>
          <w:bCs/>
          <w:color w:val="1A365D"/>
          <w:sz w:val="36"/>
          <w:szCs w:val="36"/>
        </w:rPr>
        <w:t xml:space="preserve">PART V — COMPONENT SPECIFICATIONS</w:t>
      </w:r>
    </w:p>
    <w:p>
      <w:pPr>
        <w:pStyle w:val="Heading2"/>
        <w:spacing w:before="280" w:after="120"/>
      </w:pPr>
      <w:r>
        <w:rPr>
          <w:rFonts w:ascii="Libre Baskerville" w:cs="Libre Baskerville" w:eastAsia="Libre Baskerville" w:hAnsi="Libre Baskerville"/>
          <w:b/>
          <w:bCs/>
          <w:color w:val="2B6CB0"/>
          <w:sz w:val="26"/>
          <w:szCs w:val="26"/>
        </w:rPr>
        <w:t xml:space="preserve">5.1 Buttons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00"/>
        <w:gridCol w:w="3060"/>
      </w:tblGrid>
      <w:tr>
        <w:trPr>
          <w:tblHeader/>
        </w:trP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1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1A365D"/>
                <w:sz w:val="18"/>
                <w:szCs w:val="18"/>
              </w:rPr>
              <w:t xml:space="preserve">Variant</w:t>
            </w:r>
          </w:p>
        </w:tc>
        <w:tc>
          <w:tcPr>
            <w:tcW w:type="dxa" w:w="4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1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1A365D"/>
                <w:sz w:val="18"/>
                <w:szCs w:val="18"/>
              </w:rPr>
              <w:t xml:space="preserve">Style</w:t>
            </w:r>
          </w:p>
        </w:tc>
        <w:tc>
          <w:tcPr>
            <w:tcW w:type="dxa" w:w="3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1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1A365D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btn--accent</w:t>
            </w:r>
          </w:p>
        </w:tc>
        <w:tc>
          <w:tcPr>
            <w:tcW w:type="dxa" w:w="4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Gradient fill, accent-on-strong text, 0 6px 18px shadow</w:t>
            </w:r>
          </w:p>
        </w:tc>
        <w:tc>
          <w:tcPr>
            <w:tcW w:type="dxa" w:w="3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Primary CTAs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btn--outline</w:t>
            </w:r>
          </w:p>
        </w:tc>
        <w:tc>
          <w:tcPr>
            <w:tcW w:type="dxa" w:w="4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Transparent, 1px border, hover: accent border + bg tint</w:t>
            </w:r>
          </w:p>
        </w:tc>
        <w:tc>
          <w:tcPr>
            <w:tcW w:type="dxa" w:w="3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Secondary actions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btn--ghost</w:t>
            </w:r>
          </w:p>
        </w:tc>
        <w:tc>
          <w:tcPr>
            <w:tcW w:type="dxa" w:w="4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Transparent, accent text, underline on hover</w:t>
            </w:r>
          </w:p>
        </w:tc>
        <w:tc>
          <w:tcPr>
            <w:tcW w:type="dxa" w:w="3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Tertiary / link-style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btn[disabled]</w:t>
            </w:r>
          </w:p>
        </w:tc>
        <w:tc>
          <w:tcPr>
            <w:tcW w:type="dxa" w:w="4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opacity: 0.5, cursor: not-allowed, pointer-events: none</w:t>
            </w:r>
          </w:p>
        </w:tc>
        <w:tc>
          <w:tcPr>
            <w:tcW w:type="dxa" w:w="3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Inactive state</w:t>
            </w:r>
          </w:p>
        </w:tc>
      </w:tr>
    </w:tbl>
    <w:p>
      <w:pPr>
        <w:spacing w:before="0" w:after="80"/>
      </w:pPr>
    </w:p>
    <w:p>
      <w:pPr>
        <w:pStyle w:val="Heading2"/>
        <w:spacing w:before="280" w:after="120"/>
      </w:pPr>
      <w:r>
        <w:rPr>
          <w:rFonts w:ascii="Libre Baskerville" w:cs="Libre Baskerville" w:eastAsia="Libre Baskerville" w:hAnsi="Libre Baskerville"/>
          <w:b/>
          <w:bCs/>
          <w:color w:val="2B6CB0"/>
          <w:sz w:val="26"/>
          <w:szCs w:val="26"/>
        </w:rPr>
        <w:t xml:space="preserve">5.2 Card Elevation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160"/>
      </w:tblGrid>
      <w:tr>
        <w:trPr>
          <w:tblHeader/>
        </w:trP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1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1A365D"/>
                <w:sz w:val="18"/>
                <w:szCs w:val="18"/>
              </w:rPr>
              <w:t xml:space="preserve">Level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1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1A365D"/>
                <w:sz w:val="18"/>
                <w:szCs w:val="18"/>
              </w:rPr>
              <w:t xml:space="preserve">Shadow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1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1A365D"/>
                <w:sz w:val="18"/>
                <w:szCs w:val="18"/>
              </w:rPr>
              <w:t xml:space="preserve">Use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Flat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none / 1px border only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Document figures, tables, Academic contexts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Soft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0 4px 12px rgba(0,0,0,0.08)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Standard UI cards, panels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Lifted (hover)</w:t>
            </w:r>
          </w:p>
        </w:tc>
        <w:tc>
          <w:tcPr>
            <w:tcW w:type="dxa" w:w="3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0 8px 20px rgba(0,0,0,0.12)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Interactive cards on hover</w:t>
            </w:r>
          </w:p>
        </w:tc>
      </w:tr>
    </w:tbl>
    <w:p>
      <w:pPr>
        <w:spacing w:before="0" w:after="80"/>
      </w:pPr>
    </w:p>
    <w:p>
      <w:pPr>
        <w:pStyle w:val="Heading2"/>
        <w:spacing w:before="280" w:after="120"/>
      </w:pPr>
      <w:r>
        <w:rPr>
          <w:rFonts w:ascii="Libre Baskerville" w:cs="Libre Baskerville" w:eastAsia="Libre Baskerville" w:hAnsi="Libre Baskerville"/>
          <w:b/>
          <w:bCs/>
          <w:color w:val="2B6CB0"/>
          <w:sz w:val="26"/>
          <w:szCs w:val="26"/>
        </w:rPr>
        <w:t xml:space="preserve">5.3 Alert &amp; Callout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1800"/>
        <w:gridCol w:w="3560"/>
      </w:tblGrid>
      <w:tr>
        <w:trPr>
          <w:tblHeader/>
        </w:trP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1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1A365D"/>
                <w:sz w:val="18"/>
                <w:szCs w:val="18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1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1A365D"/>
                <w:sz w:val="18"/>
                <w:szCs w:val="18"/>
              </w:rPr>
              <w:t xml:space="preserve">Background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1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1A365D"/>
                <w:sz w:val="18"/>
                <w:szCs w:val="18"/>
              </w:rPr>
              <w:t xml:space="preserve">Text Color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1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1A365D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success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rgba(168,213,186,0.3)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#2F855A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Positive feedback, completions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info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rgba(163,191,250,0.2)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#2B6CB0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Neutral guidance, notes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error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rgba(245,101,101,0.2)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#C53030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Critical errors, warnings</w:t>
            </w:r>
          </w:p>
        </w:tc>
      </w:tr>
      <w:tr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exceptional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rgba(224,122,95,0.15)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#9C4431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Philosophical highlight, signature, &lt;1% area</w:t>
            </w:r>
          </w:p>
        </w:tc>
      </w:tr>
    </w:tbl>
    <w:p>
      <w:pPr>
        <w:spacing w:before="0" w:after="80"/>
      </w:pPr>
    </w:p>
    <w:p>
      <w:pPr>
        <w:pStyle w:val="Heading2"/>
        <w:spacing w:before="280" w:after="120"/>
      </w:pPr>
      <w:r>
        <w:rPr>
          <w:rFonts w:ascii="Libre Baskerville" w:cs="Libre Baskerville" w:eastAsia="Libre Baskerville" w:hAnsi="Libre Baskerville"/>
          <w:b/>
          <w:bCs/>
          <w:color w:val="2B6CB0"/>
          <w:sz w:val="26"/>
          <w:szCs w:val="26"/>
        </w:rPr>
        <w:t xml:space="preserve">5.4 Tables — Academic Style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BM Plex Sans" w:cs="IBM Plex Sans" w:eastAsia="IBM Plex Sans" w:hAnsi="IBM Plex Sans"/>
          <w:color w:val="0A0A0A"/>
          <w:sz w:val="20"/>
          <w:szCs w:val="20"/>
        </w:rPr>
        <w:t xml:space="preserve">width: 100%; border-collapse: collapse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BM Plex Sans" w:cs="IBM Plex Sans" w:eastAsia="IBM Plex Sans" w:hAnsi="IBM Plex Sans"/>
          <w:color w:val="0A0A0A"/>
          <w:sz w:val="20"/>
          <w:szCs w:val="20"/>
        </w:rPr>
        <w:t xml:space="preserve">Header row: secondary background (#EDEDED), font-weight 700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BM Plex Sans" w:cs="IBM Plex Sans" w:eastAsia="IBM Plex Sans" w:hAnsi="IBM Plex Sans"/>
          <w:color w:val="0A0A0A"/>
          <w:sz w:val="20"/>
          <w:szCs w:val="20"/>
        </w:rPr>
        <w:t xml:space="preserve">Borders: 1px solid var(--border) on all cells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BM Plex Sans" w:cs="IBM Plex Sans" w:eastAsia="IBM Plex Sans" w:hAnsi="IBM Plex Sans"/>
          <w:color w:val="0A0A0A"/>
          <w:sz w:val="20"/>
          <w:szCs w:val="20"/>
        </w:rPr>
        <w:t xml:space="preserve">Even rows: rgba(0,0,0,0.015) subtle stripe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BM Plex Sans" w:cs="IBM Plex Sans" w:eastAsia="IBM Plex Sans" w:hAnsi="IBM Plex Sans"/>
          <w:color w:val="0A0A0A"/>
          <w:sz w:val="20"/>
          <w:szCs w:val="20"/>
        </w:rPr>
        <w:t xml:space="preserve">Caption: Serif --fs-sm, text-muted, below table</w:t>
      </w:r>
    </w:p>
    <w:p>
      <w:pPr>
        <w:spacing w:before="0" w:after="80"/>
      </w:pPr>
    </w:p>
    <w:p>
      <w:pPr>
        <w:pStyle w:val="Heading1"/>
        <w:pBdr>
          <w:bottom w:val="single" w:color="2B6CB0" w:sz="8" w:space="6"/>
        </w:pBdr>
        <w:spacing w:before="400" w:after="180"/>
      </w:pPr>
      <w:r>
        <w:rPr>
          <w:rFonts w:ascii="Libre Baskerville" w:cs="Libre Baskerville" w:eastAsia="Libre Baskerville" w:hAnsi="Libre Baskerville"/>
          <w:b/>
          <w:bCs/>
          <w:color w:val="1A365D"/>
          <w:sz w:val="36"/>
          <w:szCs w:val="36"/>
        </w:rPr>
        <w:t xml:space="preserve">PART VI — MEDIUM-SPECIFIC APPLICATIONS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400"/>
        <w:gridCol w:w="1600"/>
        <w:gridCol w:w="3560"/>
      </w:tblGrid>
      <w:tr>
        <w:trPr>
          <w:tblHeader/>
        </w:trP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1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1A365D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1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1A365D"/>
                <w:sz w:val="18"/>
                <w:szCs w:val="18"/>
              </w:rPr>
              <w:t xml:space="preserve">Theme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1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1A365D"/>
                <w:sz w:val="18"/>
                <w:szCs w:val="18"/>
              </w:rPr>
              <w:t xml:space="preserve">Font Role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1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1A365D"/>
                <w:sz w:val="18"/>
                <w:szCs w:val="18"/>
              </w:rPr>
              <w:t xml:space="preserve">Morphism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1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1A365D"/>
                <w:sz w:val="18"/>
                <w:szCs w:val="18"/>
              </w:rPr>
              <w:t xml:space="preserve">Key Rules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Academic Paper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FOCUS / CLARITY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Serif body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Academic Flat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1.6–1.7 line-height, generous margins, no shadows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Technical Report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FOCUS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Serif body, Sans heading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Flat + Soft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Section headers bold sans, code in mono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Web UI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Any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Sans throughout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Soft-Morphism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CSS variables, 44px touch targets, responsive grid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SaaS / Dashboard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FOCUS / NIGHTFALL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Sans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Glassmorphism modals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Contrast ≥ 4.5:1 on blurred surfaces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Slide Deck (Formal)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FOCUS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Sans Bold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Soft-Morphism cards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≤ 30 words/slide, primary background only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Slide Deck (Creative)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WARMTH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Sans Bold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Soft + Clay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Terracotta accent, conclusion slides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Creative Portfolio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WARMTH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Mixed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Claymorphism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Narrative flow, emotional color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Dark UI / Night Mode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NIGHTFALL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Sans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Soft-Morphism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Violet accent, auto via prefers-color-scheme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Data Visualization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Any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Sans labels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Flat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Neutral gridlines, accent for primary series</w:t>
            </w:r>
          </w:p>
        </w:tc>
      </w:tr>
    </w:tbl>
    <w:p>
      <w:pPr>
        <w:spacing w:before="0" w:after="80"/>
      </w:pPr>
    </w:p>
    <w:p>
      <w:pPr>
        <w:pStyle w:val="Heading1"/>
        <w:pBdr>
          <w:bottom w:val="single" w:color="2B6CB0" w:sz="8" w:space="6"/>
        </w:pBdr>
        <w:spacing w:before="400" w:after="180"/>
      </w:pPr>
      <w:r>
        <w:rPr>
          <w:rFonts w:ascii="Libre Baskerville" w:cs="Libre Baskerville" w:eastAsia="Libre Baskerville" w:hAnsi="Libre Baskerville"/>
          <w:b/>
          <w:bCs/>
          <w:color w:val="1A365D"/>
          <w:sz w:val="36"/>
          <w:szCs w:val="36"/>
        </w:rPr>
        <w:t xml:space="preserve">PART VII — INTERACTION &amp; MOTION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1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1A365D"/>
                <w:sz w:val="18"/>
                <w:szCs w:val="18"/>
              </w:rPr>
              <w:t xml:space="preserve">Interaction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1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1A365D"/>
                <w:sz w:val="18"/>
                <w:szCs w:val="18"/>
              </w:rPr>
              <w:t xml:space="preserve">Duration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1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1A365D"/>
                <w:sz w:val="18"/>
                <w:szCs w:val="18"/>
              </w:rPr>
              <w:t xml:space="preserve">Easing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Hover state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0.2s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ease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Card lift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0.25s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ease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Modal appear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0.3s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ease-out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Page/section fade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0.4s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ease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Theme switch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0.25s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ease</w:t>
            </w:r>
          </w:p>
        </w:tc>
      </w:tr>
    </w:tbl>
    <w:p>
      <w:pPr>
        <w:pBdr>
          <w:left w:val="single" w:color="2B6CB0" w:sz="12" w:space="12"/>
        </w:pBdr>
        <w:shd w:fill="EBF4FF" w:val="clear"/>
        <w:spacing w:before="120" w:after="120"/>
        <w:ind w:left="540"/>
      </w:pPr>
      <w:r>
        <w:rPr>
          <w:rFonts w:ascii="Libre Baskerville" w:cs="Libre Baskerville" w:eastAsia="Libre Baskerville" w:hAnsi="Libre Baskerville"/>
          <w:i/>
          <w:iCs/>
          <w:color w:val="1A365D"/>
          <w:sz w:val="20"/>
          <w:szCs w:val="20"/>
        </w:rPr>
        <w:t xml:space="preserve">No looping, continuous, or autoplay animations in professional or academic contexts. Motion is purposeful — it confirms interaction or guides attention. Always respect prefers-reduced-motion.</w:t>
      </w:r>
    </w:p>
    <w:p>
      <w:pPr>
        <w:spacing w:before="0" w:after="80"/>
      </w:pPr>
    </w:p>
    <w:p>
      <w:pPr>
        <w:pStyle w:val="Heading1"/>
        <w:pBdr>
          <w:bottom w:val="single" w:color="2B6CB0" w:sz="8" w:space="6"/>
        </w:pBdr>
        <w:spacing w:before="400" w:after="180"/>
      </w:pPr>
      <w:r>
        <w:rPr>
          <w:rFonts w:ascii="Libre Baskerville" w:cs="Libre Baskerville" w:eastAsia="Libre Baskerville" w:hAnsi="Libre Baskerville"/>
          <w:b/>
          <w:bCs/>
          <w:color w:val="1A365D"/>
          <w:sz w:val="36"/>
          <w:szCs w:val="36"/>
        </w:rPr>
        <w:t xml:space="preserve">PART VIII — ACCESSIBILITY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1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1A365D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1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1A365D"/>
                <w:sz w:val="18"/>
                <w:szCs w:val="18"/>
              </w:rPr>
              <w:t xml:space="preserve">Standard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Text contrast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WCAG 2.1 AA — 4.5:1 body; 3:1 for ≥24px text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Focus ring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:focus-visible — 4px accent-hue outline, 2px offset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Touch targets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44px × 44px minimum for all interactive elements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ARIA labels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All icon buttons, non-text controls, modal triggers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Zoom safety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Layout must not break at 200% browser zoom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Reduced motion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All animations suppressed via prefers-reduced-motion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Hover-only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Must have touch-friendly alternative for every interaction</w:t>
            </w:r>
          </w:p>
        </w:tc>
      </w:tr>
    </w:tbl>
    <w:p>
      <w:pPr>
        <w:spacing w:before="0" w:after="80"/>
      </w:pPr>
    </w:p>
    <w:p>
      <w:pPr>
        <w:pStyle w:val="Heading1"/>
        <w:pBdr>
          <w:bottom w:val="single" w:color="2B6CB0" w:sz="8" w:space="6"/>
        </w:pBdr>
        <w:spacing w:before="400" w:after="180"/>
      </w:pPr>
      <w:r>
        <w:rPr>
          <w:rFonts w:ascii="Libre Baskerville" w:cs="Libre Baskerville" w:eastAsia="Libre Baskerville" w:hAnsi="Libre Baskerville"/>
          <w:b/>
          <w:bCs/>
          <w:color w:val="1A365D"/>
          <w:sz w:val="36"/>
          <w:szCs w:val="36"/>
        </w:rPr>
        <w:t xml:space="preserve">PART IX — CSS VARIABLE IMPLEMENTATION REFERENCE</w:t>
      </w:r>
    </w:p>
    <w:p>
      <w:pPr>
        <w:spacing w:before="0" w:after="100"/>
        <w:jc w:val="left"/>
      </w:pPr>
      <w:r>
        <w:rPr>
          <w:rFonts w:ascii="Fira Code" w:cs="Fira Code" w:eastAsia="Fira Code" w:hAnsi="Fira Code"/>
          <w:color w:val="1A365D"/>
          <w:sz w:val="18"/>
          <w:szCs w:val="18"/>
        </w:rPr>
        <w:t xml:space="preserve">:root {</w:t>
      </w:r>
    </w:p>
    <w:p>
      <w:pPr>
        <w:spacing w:before="0" w:after="100"/>
        <w:jc w:val="left"/>
      </w:pPr>
      <w:r>
        <w:rPr>
          <w:rFonts w:ascii="Fira Code" w:cs="Fira Code" w:eastAsia="Fira Code" w:hAnsi="Fira Code"/>
          <w:color w:val="1A365D"/>
          <w:sz w:val="18"/>
          <w:szCs w:val="18"/>
        </w:rPr>
        <w:t xml:space="preserve">  /* Palette (Clarity default) */</w:t>
      </w:r>
    </w:p>
    <w:p>
      <w:pPr>
        <w:spacing w:before="0" w:after="100"/>
        <w:jc w:val="left"/>
      </w:pPr>
      <w:r>
        <w:rPr>
          <w:rFonts w:ascii="Fira Code" w:cs="Fira Code" w:eastAsia="Fira Code" w:hAnsi="Fira Code"/>
          <w:color w:val="1A365D"/>
          <w:sz w:val="18"/>
          <w:szCs w:val="18"/>
        </w:rPr>
        <w:t xml:space="preserve">  --primary: #FDFDFD;          /* 60% canvas */</w:t>
      </w:r>
    </w:p>
    <w:p>
      <w:pPr>
        <w:spacing w:before="0" w:after="100"/>
        <w:jc w:val="left"/>
      </w:pPr>
      <w:r>
        <w:rPr>
          <w:rFonts w:ascii="Fira Code" w:cs="Fira Code" w:eastAsia="Fira Code" w:hAnsi="Fira Code"/>
          <w:color w:val="1A365D"/>
          <w:sz w:val="18"/>
          <w:szCs w:val="18"/>
        </w:rPr>
        <w:t xml:space="preserve">  --secondary: #F5F5F5;        /* 30% structure */</w:t>
      </w:r>
    </w:p>
    <w:p>
      <w:pPr>
        <w:spacing w:before="0" w:after="100"/>
        <w:jc w:val="left"/>
      </w:pPr>
      <w:r>
        <w:rPr>
          <w:rFonts w:ascii="Fira Code" w:cs="Fira Code" w:eastAsia="Fira Code" w:hAnsi="Fira Code"/>
          <w:color w:val="1A365D"/>
          <w:sz w:val="18"/>
          <w:szCs w:val="18"/>
        </w:rPr>
        <w:t xml:space="preserve">  --accent: #A8D5BA;           /* 10% signal */</w:t>
      </w:r>
    </w:p>
    <w:p>
      <w:pPr>
        <w:spacing w:before="0" w:after="100"/>
        <w:jc w:val="left"/>
      </w:pPr>
      <w:r>
        <w:rPr>
          <w:rFonts w:ascii="Fira Code" w:cs="Fira Code" w:eastAsia="Fira Code" w:hAnsi="Fira Code"/>
          <w:color w:val="1A365D"/>
          <w:sz w:val="18"/>
          <w:szCs w:val="18"/>
        </w:rPr>
        <w:t xml:space="preserve">  --accent-light: #C7E7D1;</w:t>
      </w:r>
    </w:p>
    <w:p>
      <w:pPr>
        <w:spacing w:before="0" w:after="100"/>
        <w:jc w:val="left"/>
      </w:pPr>
      <w:r>
        <w:rPr>
          <w:rFonts w:ascii="Fira Code" w:cs="Fira Code" w:eastAsia="Fira Code" w:hAnsi="Fira Code"/>
          <w:color w:val="1A365D"/>
          <w:sz w:val="18"/>
          <w:szCs w:val="18"/>
        </w:rPr>
        <w:t xml:space="preserve">  --accent-tone: #95C4A9;</w:t>
      </w:r>
    </w:p>
    <w:p>
      <w:pPr>
        <w:spacing w:before="0" w:after="100"/>
        <w:jc w:val="left"/>
      </w:pPr>
      <w:r>
        <w:rPr>
          <w:rFonts w:ascii="Fira Code" w:cs="Fira Code" w:eastAsia="Fira Code" w:hAnsi="Fira Code"/>
          <w:color w:val="1A365D"/>
          <w:sz w:val="18"/>
          <w:szCs w:val="18"/>
        </w:rPr>
        <w:t xml:space="preserve">  --accent-dark: #7BAE8C;</w:t>
      </w:r>
    </w:p>
    <w:p>
      <w:pPr>
        <w:spacing w:before="0" w:after="100"/>
        <w:jc w:val="left"/>
      </w:pPr>
      <w:r>
        <w:rPr>
          <w:rFonts w:ascii="Fira Code" w:cs="Fira Code" w:eastAsia="Fira Code" w:hAnsi="Fira Code"/>
          <w:color w:val="1A365D"/>
          <w:sz w:val="18"/>
          <w:szCs w:val="18"/>
        </w:rPr>
        <w:t xml:space="preserve">  --exceptional: #E07A5F;      /* &lt;1% emotional/alert */</w:t>
      </w:r>
    </w:p>
    <w:p>
      <w:pPr>
        <w:spacing w:before="0" w:after="80"/>
      </w:pPr>
    </w:p>
    <w:p>
      <w:pPr>
        <w:spacing w:before="0" w:after="100"/>
        <w:jc w:val="left"/>
      </w:pPr>
      <w:r>
        <w:rPr>
          <w:rFonts w:ascii="Fira Code" w:cs="Fira Code" w:eastAsia="Fira Code" w:hAnsi="Fira Code"/>
          <w:color w:val="1A365D"/>
          <w:sz w:val="18"/>
          <w:szCs w:val="18"/>
        </w:rPr>
        <w:t xml:space="preserve">  /* Typography */</w:t>
      </w:r>
    </w:p>
    <w:p>
      <w:pPr>
        <w:spacing w:before="0" w:after="100"/>
        <w:jc w:val="left"/>
      </w:pPr>
      <w:r>
        <w:rPr>
          <w:rFonts w:ascii="Fira Code" w:cs="Fira Code" w:eastAsia="Fira Code" w:hAnsi="Fira Code"/>
          <w:color w:val="1A365D"/>
          <w:sz w:val="18"/>
          <w:szCs w:val="18"/>
        </w:rPr>
        <w:t xml:space="preserve">  --font-sans: "IBM Plex Sans","Helvetica Neue",Arial,sans-serif;</w:t>
      </w:r>
    </w:p>
    <w:p>
      <w:pPr>
        <w:spacing w:before="0" w:after="100"/>
        <w:jc w:val="left"/>
      </w:pPr>
      <w:r>
        <w:rPr>
          <w:rFonts w:ascii="Fira Code" w:cs="Fira Code" w:eastAsia="Fira Code" w:hAnsi="Fira Code"/>
          <w:color w:val="1A365D"/>
          <w:sz w:val="18"/>
          <w:szCs w:val="18"/>
        </w:rPr>
        <w:t xml:space="preserve">  --font-serif: "Libre Baskerville",Georgia,serif;</w:t>
      </w:r>
    </w:p>
    <w:p>
      <w:pPr>
        <w:spacing w:before="0" w:after="100"/>
        <w:jc w:val="left"/>
      </w:pPr>
      <w:r>
        <w:rPr>
          <w:rFonts w:ascii="Fira Code" w:cs="Fira Code" w:eastAsia="Fira Code" w:hAnsi="Fira Code"/>
          <w:color w:val="1A365D"/>
          <w:sz w:val="18"/>
          <w:szCs w:val="18"/>
        </w:rPr>
        <w:t xml:space="preserve">  --font-mono: "Fira Code",Consolas,monospace;</w:t>
      </w:r>
    </w:p>
    <w:p>
      <w:pPr>
        <w:spacing w:before="0" w:after="80"/>
      </w:pPr>
    </w:p>
    <w:p>
      <w:pPr>
        <w:spacing w:before="0" w:after="100"/>
        <w:jc w:val="left"/>
      </w:pPr>
      <w:r>
        <w:rPr>
          <w:rFonts w:ascii="Fira Code" w:cs="Fira Code" w:eastAsia="Fira Code" w:hAnsi="Fira Code"/>
          <w:color w:val="1A365D"/>
          <w:sz w:val="18"/>
          <w:szCs w:val="18"/>
        </w:rPr>
        <w:t xml:space="preserve">  /* Type Scale */</w:t>
      </w:r>
    </w:p>
    <w:p>
      <w:pPr>
        <w:spacing w:before="0" w:after="100"/>
        <w:jc w:val="left"/>
      </w:pPr>
      <w:r>
        <w:rPr>
          <w:rFonts w:ascii="Fira Code" w:cs="Fira Code" w:eastAsia="Fira Code" w:hAnsi="Fira Code"/>
          <w:color w:val="1A365D"/>
          <w:sz w:val="18"/>
          <w:szCs w:val="18"/>
        </w:rPr>
        <w:t xml:space="preserve">  --fs-xs:0.75rem; --fs-sm:0.875rem; --fs-base:1rem;</w:t>
      </w:r>
    </w:p>
    <w:p>
      <w:pPr>
        <w:spacing w:before="0" w:after="100"/>
        <w:jc w:val="left"/>
      </w:pPr>
      <w:r>
        <w:rPr>
          <w:rFonts w:ascii="Fira Code" w:cs="Fira Code" w:eastAsia="Fira Code" w:hAnsi="Fira Code"/>
          <w:color w:val="1A365D"/>
          <w:sz w:val="18"/>
          <w:szCs w:val="18"/>
        </w:rPr>
        <w:t xml:space="preserve">  --fs-md:1.125rem; --fs-lg:1.25rem; --fs-xl:1.5rem;</w:t>
      </w:r>
    </w:p>
    <w:p>
      <w:pPr>
        <w:spacing w:before="0" w:after="100"/>
        <w:jc w:val="left"/>
      </w:pPr>
      <w:r>
        <w:rPr>
          <w:rFonts w:ascii="Fira Code" w:cs="Fira Code" w:eastAsia="Fira Code" w:hAnsi="Fira Code"/>
          <w:color w:val="1A365D"/>
          <w:sz w:val="18"/>
          <w:szCs w:val="18"/>
        </w:rPr>
        <w:t xml:space="preserve">  --fs-2xl:2rem; --fs-3xl:3rem;</w:t>
      </w:r>
    </w:p>
    <w:p>
      <w:pPr>
        <w:spacing w:before="0" w:after="80"/>
      </w:pPr>
    </w:p>
    <w:p>
      <w:pPr>
        <w:spacing w:before="0" w:after="100"/>
        <w:jc w:val="left"/>
      </w:pPr>
      <w:r>
        <w:rPr>
          <w:rFonts w:ascii="Fira Code" w:cs="Fira Code" w:eastAsia="Fira Code" w:hAnsi="Fira Code"/>
          <w:color w:val="1A365D"/>
          <w:sz w:val="18"/>
          <w:szCs w:val="18"/>
        </w:rPr>
        <w:t xml:space="preserve">  /* Spacing (4px modular) */</w:t>
      </w:r>
    </w:p>
    <w:p>
      <w:pPr>
        <w:spacing w:before="0" w:after="100"/>
        <w:jc w:val="left"/>
      </w:pPr>
      <w:r>
        <w:rPr>
          <w:rFonts w:ascii="Fira Code" w:cs="Fira Code" w:eastAsia="Fira Code" w:hAnsi="Fira Code"/>
          <w:color w:val="1A365D"/>
          <w:sz w:val="18"/>
          <w:szCs w:val="18"/>
        </w:rPr>
        <w:t xml:space="preserve">  --space-xs:4px; --space-sm:8px; --space-md:16px;</w:t>
      </w:r>
    </w:p>
    <w:p>
      <w:pPr>
        <w:spacing w:before="0" w:after="100"/>
        <w:jc w:val="left"/>
      </w:pPr>
      <w:r>
        <w:rPr>
          <w:rFonts w:ascii="Fira Code" w:cs="Fira Code" w:eastAsia="Fira Code" w:hAnsi="Fira Code"/>
          <w:color w:val="1A365D"/>
          <w:sz w:val="18"/>
          <w:szCs w:val="18"/>
        </w:rPr>
        <w:t xml:space="preserve">  --space-lg:24px; --space-xl:32px; --space-2xl:48px; --space-3xl:64px;</w:t>
      </w:r>
    </w:p>
    <w:p>
      <w:pPr>
        <w:spacing w:before="0" w:after="80"/>
      </w:pPr>
    </w:p>
    <w:p>
      <w:pPr>
        <w:spacing w:before="0" w:after="100"/>
        <w:jc w:val="left"/>
      </w:pPr>
      <w:r>
        <w:rPr>
          <w:rFonts w:ascii="Fira Code" w:cs="Fira Code" w:eastAsia="Fira Code" w:hAnsi="Fira Code"/>
          <w:color w:val="1A365D"/>
          <w:sz w:val="18"/>
          <w:szCs w:val="18"/>
        </w:rPr>
        <w:t xml:space="preserve">  /* Surface */</w:t>
      </w:r>
    </w:p>
    <w:p>
      <w:pPr>
        <w:spacing w:before="0" w:after="100"/>
        <w:jc w:val="left"/>
      </w:pPr>
      <w:r>
        <w:rPr>
          <w:rFonts w:ascii="Fira Code" w:cs="Fira Code" w:eastAsia="Fira Code" w:hAnsi="Fira Code"/>
          <w:color w:val="1A365D"/>
          <w:sz w:val="18"/>
          <w:szCs w:val="18"/>
        </w:rPr>
        <w:t xml:space="preserve">  --radius: 16px;</w:t>
      </w:r>
    </w:p>
    <w:p>
      <w:pPr>
        <w:spacing w:before="0" w:after="100"/>
        <w:jc w:val="left"/>
      </w:pPr>
      <w:r>
        <w:rPr>
          <w:rFonts w:ascii="Fira Code" w:cs="Fira Code" w:eastAsia="Fira Code" w:hAnsi="Fira Code"/>
          <w:color w:val="1A365D"/>
          <w:sz w:val="18"/>
          <w:szCs w:val="18"/>
        </w:rPr>
        <w:t xml:space="preserve">  --shadow: 0 4px 12px rgba(0,0,0,0.05);</w:t>
      </w:r>
    </w:p>
    <w:p>
      <w:pPr>
        <w:spacing w:before="0" w:after="100"/>
        <w:jc w:val="left"/>
      </w:pPr>
      <w:r>
        <w:rPr>
          <w:rFonts w:ascii="Fira Code" w:cs="Fira Code" w:eastAsia="Fira Code" w:hAnsi="Fira Code"/>
          <w:color w:val="1A365D"/>
          <w:sz w:val="18"/>
          <w:szCs w:val="18"/>
        </w:rPr>
        <w:t xml:space="preserve">  --shadow-soft: 0 4px 12px rgba(0,0,0,0.08);</w:t>
      </w:r>
    </w:p>
    <w:p>
      <w:pPr>
        <w:spacing w:before="0" w:after="100"/>
        <w:jc w:val="left"/>
      </w:pPr>
      <w:r>
        <w:rPr>
          <w:rFonts w:ascii="Fira Code" w:cs="Fira Code" w:eastAsia="Fira Code" w:hAnsi="Fira Code"/>
          <w:color w:val="1A365D"/>
          <w:sz w:val="18"/>
          <w:szCs w:val="18"/>
        </w:rPr>
        <w:t xml:space="preserve">  --shadow-inner: inset 0 2px 6px rgba(255,255,255,0.6);</w:t>
      </w:r>
    </w:p>
    <w:p>
      <w:pPr>
        <w:spacing w:before="0" w:after="100"/>
        <w:jc w:val="left"/>
      </w:pPr>
      <w:r>
        <w:rPr>
          <w:rFonts w:ascii="Fira Code" w:cs="Fira Code" w:eastAsia="Fira Code" w:hAnsi="Fira Code"/>
          <w:color w:val="1A365D"/>
          <w:sz w:val="18"/>
          <w:szCs w:val="18"/>
        </w:rPr>
        <w:t xml:space="preserve">  --transition: all 0.25s ease;</w:t>
      </w:r>
    </w:p>
    <w:p>
      <w:pPr>
        <w:spacing w:before="0" w:after="80"/>
      </w:pPr>
    </w:p>
    <w:p>
      <w:pPr>
        <w:spacing w:before="0" w:after="100"/>
        <w:jc w:val="left"/>
      </w:pPr>
      <w:r>
        <w:rPr>
          <w:rFonts w:ascii="Fira Code" w:cs="Fira Code" w:eastAsia="Fira Code" w:hAnsi="Fira Code"/>
          <w:color w:val="1A365D"/>
          <w:sz w:val="18"/>
          <w:szCs w:val="18"/>
        </w:rPr>
        <w:t xml:space="preserve">  /* Z-Index */</w:t>
      </w:r>
    </w:p>
    <w:p>
      <w:pPr>
        <w:spacing w:before="0" w:after="100"/>
        <w:jc w:val="left"/>
      </w:pPr>
      <w:r>
        <w:rPr>
          <w:rFonts w:ascii="Fira Code" w:cs="Fira Code" w:eastAsia="Fira Code" w:hAnsi="Fira Code"/>
          <w:color w:val="1A365D"/>
          <w:sz w:val="18"/>
          <w:szCs w:val="18"/>
        </w:rPr>
        <w:t xml:space="preserve">  --z-base:0; --z-card:10; --z-modal:1000; --z-tooltip:2000;</w:t>
      </w:r>
    </w:p>
    <w:p>
      <w:pPr>
        <w:spacing w:before="0" w:after="100"/>
        <w:jc w:val="left"/>
      </w:pPr>
      <w:r>
        <w:rPr>
          <w:rFonts w:ascii="Fira Code" w:cs="Fira Code" w:eastAsia="Fira Code" w:hAnsi="Fira Code"/>
          <w:color w:val="1A365D"/>
          <w:sz w:val="18"/>
          <w:szCs w:val="18"/>
        </w:rPr>
        <w:t xml:space="preserve">}</w:t>
      </w:r>
    </w:p>
    <w:p>
      <w:pPr>
        <w:spacing w:before="0" w:after="80"/>
      </w:pPr>
    </w:p>
    <w:p>
      <w:pPr>
        <w:spacing w:before="0" w:after="100"/>
        <w:jc w:val="left"/>
      </w:pPr>
      <w:r>
        <w:rPr>
          <w:rFonts w:ascii="Fira Code" w:cs="Fira Code" w:eastAsia="Fira Code" w:hAnsi="Fira Code"/>
          <w:color w:val="1A365D"/>
          <w:sz w:val="18"/>
          <w:szCs w:val="18"/>
        </w:rPr>
        <w:t xml:space="preserve">.theme-focus    { /* --primary:#FFFFFF; --accent:#2B6CB0; etc */ }</w:t>
      </w:r>
    </w:p>
    <w:p>
      <w:pPr>
        <w:spacing w:before="0" w:after="100"/>
        <w:jc w:val="left"/>
      </w:pPr>
      <w:r>
        <w:rPr>
          <w:rFonts w:ascii="Fira Code" w:cs="Fira Code" w:eastAsia="Fira Code" w:hAnsi="Fira Code"/>
          <w:color w:val="1A365D"/>
          <w:sz w:val="18"/>
          <w:szCs w:val="18"/>
        </w:rPr>
        <w:t xml:space="preserve">.theme-warmth   { /* --primary:#FAFAFA; --accent:#E07A5F; etc */ }</w:t>
      </w:r>
    </w:p>
    <w:p>
      <w:pPr>
        <w:spacing w:before="0" w:after="100"/>
        <w:jc w:val="left"/>
      </w:pPr>
      <w:r>
        <w:rPr>
          <w:rFonts w:ascii="Fira Code" w:cs="Fira Code" w:eastAsia="Fira Code" w:hAnsi="Fira Code"/>
          <w:color w:val="1A365D"/>
          <w:sz w:val="18"/>
          <w:szCs w:val="18"/>
        </w:rPr>
        <w:t xml:space="preserve">.theme-nightfall { /* --primary:#111111; --accent:#8B5CF6; etc */ }</w:t>
      </w:r>
    </w:p>
    <w:p>
      <w:pPr>
        <w:spacing w:before="0" w:after="80"/>
      </w:pPr>
    </w:p>
    <w:p>
      <w:pPr>
        <w:pStyle w:val="Heading1"/>
        <w:pBdr>
          <w:bottom w:val="single" w:color="2B6CB0" w:sz="8" w:space="6"/>
        </w:pBdr>
        <w:spacing w:before="400" w:after="180"/>
      </w:pPr>
      <w:r>
        <w:rPr>
          <w:rFonts w:ascii="Libre Baskerville" w:cs="Libre Baskerville" w:eastAsia="Libre Baskerville" w:hAnsi="Libre Baskerville"/>
          <w:b/>
          <w:bCs/>
          <w:color w:val="1A365D"/>
          <w:sz w:val="36"/>
          <w:szCs w:val="36"/>
        </w:rPr>
        <w:t xml:space="preserve">PART X — QUALITY CHECKLIST</w:t>
      </w:r>
    </w:p>
    <w:p>
      <w:pPr>
        <w:pStyle w:val="Heading3"/>
        <w:spacing w:before="200" w:after="100"/>
      </w:pPr>
      <w:r>
        <w:rPr>
          <w:rFonts w:ascii="IBM Plex Sans" w:cs="IBM Plex Sans" w:eastAsia="IBM Plex Sans" w:hAnsi="IBM Plex Sans"/>
          <w:b/>
          <w:bCs/>
          <w:color w:val="1A365D"/>
          <w:sz w:val="22"/>
          <w:szCs w:val="22"/>
        </w:rPr>
        <w:t xml:space="preserve">Color &amp; Theme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BM Plex Sans" w:cs="IBM Plex Sans" w:eastAsia="IBM Plex Sans" w:hAnsi="IBM Plex Sans"/>
          <w:color w:val="0A0A0A"/>
          <w:sz w:val="20"/>
          <w:szCs w:val="20"/>
        </w:rPr>
        <w:t xml:space="preserve">60/30/10 law observed across composition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BM Plex Sans" w:cs="IBM Plex Sans" w:eastAsia="IBM Plex Sans" w:hAnsi="IBM Plex Sans"/>
          <w:color w:val="0A0A0A"/>
          <w:sz w:val="20"/>
          <w:szCs w:val="20"/>
        </w:rPr>
        <w:t xml:space="preserve">Single accent color per composition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BM Plex Sans" w:cs="IBM Plex Sans" w:eastAsia="IBM Plex Sans" w:hAnsi="IBM Plex Sans"/>
          <w:color w:val="0A0A0A"/>
          <w:sz w:val="20"/>
          <w:szCs w:val="20"/>
        </w:rPr>
        <w:t xml:space="preserve">Exceptional terracotta &lt; 1% (or primary accent in WARMTH only)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BM Plex Sans" w:cs="IBM Plex Sans" w:eastAsia="IBM Plex Sans" w:hAnsi="IBM Plex Sans"/>
          <w:color w:val="0A0A0A"/>
          <w:sz w:val="20"/>
          <w:szCs w:val="20"/>
        </w:rPr>
        <w:t xml:space="preserve">WCAG 2.1 AA contrast verified for all text/background pairs</w:t>
      </w:r>
    </w:p>
    <w:p>
      <w:pPr>
        <w:spacing w:before="0" w:after="80"/>
      </w:pPr>
    </w:p>
    <w:p>
      <w:pPr>
        <w:pStyle w:val="Heading3"/>
        <w:spacing w:before="200" w:after="100"/>
      </w:pPr>
      <w:r>
        <w:rPr>
          <w:rFonts w:ascii="IBM Plex Sans" w:cs="IBM Plex Sans" w:eastAsia="IBM Plex Sans" w:hAnsi="IBM Plex Sans"/>
          <w:b/>
          <w:bCs/>
          <w:color w:val="1A365D"/>
          <w:sz w:val="22"/>
          <w:szCs w:val="22"/>
        </w:rPr>
        <w:t xml:space="preserve">Typography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BM Plex Sans" w:cs="IBM Plex Sans" w:eastAsia="IBM Plex Sans" w:hAnsi="IBM Plex Sans"/>
          <w:color w:val="0A0A0A"/>
          <w:sz w:val="20"/>
          <w:szCs w:val="20"/>
        </w:rPr>
        <w:t xml:space="preserve">Maximum 3 typefaces per composition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BM Plex Sans" w:cs="IBM Plex Sans" w:eastAsia="IBM Plex Sans" w:hAnsi="IBM Plex Sans"/>
          <w:color w:val="0A0A0A"/>
          <w:sz w:val="20"/>
          <w:szCs w:val="20"/>
        </w:rPr>
        <w:t xml:space="preserve">Scale hierarchy respected: body &lt; subhead &lt; heading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BM Plex Sans" w:cs="IBM Plex Sans" w:eastAsia="IBM Plex Sans" w:hAnsi="IBM Plex Sans"/>
          <w:color w:val="0A0A0A"/>
          <w:sz w:val="20"/>
          <w:szCs w:val="20"/>
        </w:rPr>
        <w:t xml:space="preserve">Serif for academic body; sans for UI/slides; mono for code</w:t>
      </w:r>
    </w:p>
    <w:p>
      <w:pPr>
        <w:spacing w:before="0" w:after="80"/>
      </w:pPr>
    </w:p>
    <w:p>
      <w:pPr>
        <w:pStyle w:val="Heading3"/>
        <w:spacing w:before="200" w:after="100"/>
      </w:pPr>
      <w:r>
        <w:rPr>
          <w:rFonts w:ascii="IBM Plex Sans" w:cs="IBM Plex Sans" w:eastAsia="IBM Plex Sans" w:hAnsi="IBM Plex Sans"/>
          <w:b/>
          <w:bCs/>
          <w:color w:val="1A365D"/>
          <w:sz w:val="22"/>
          <w:szCs w:val="22"/>
        </w:rPr>
        <w:t xml:space="preserve">Layout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BM Plex Sans" w:cs="IBM Plex Sans" w:eastAsia="IBM Plex Sans" w:hAnsi="IBM Plex Sans"/>
          <w:color w:val="0A0A0A"/>
          <w:sz w:val="20"/>
          <w:szCs w:val="20"/>
        </w:rPr>
        <w:t xml:space="preserve">4px spacing modular scale observed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BM Plex Sans" w:cs="IBM Plex Sans" w:eastAsia="IBM Plex Sans" w:hAnsi="IBM Plex Sans"/>
          <w:color w:val="0A0A0A"/>
          <w:sz w:val="20"/>
          <w:szCs w:val="20"/>
        </w:rPr>
        <w:t xml:space="preserve">Minimum 16px padding on all major blocks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BM Plex Sans" w:cs="IBM Plex Sans" w:eastAsia="IBM Plex Sans" w:hAnsi="IBM Plex Sans"/>
          <w:color w:val="0A0A0A"/>
          <w:sz w:val="20"/>
          <w:szCs w:val="20"/>
        </w:rPr>
        <w:t xml:space="preserve">Grid-based structure throughout</w:t>
      </w:r>
    </w:p>
    <w:p>
      <w:pPr>
        <w:spacing w:before="0" w:after="80"/>
      </w:pPr>
    </w:p>
    <w:p>
      <w:pPr>
        <w:pStyle w:val="Heading3"/>
        <w:spacing w:before="200" w:after="100"/>
      </w:pPr>
      <w:r>
        <w:rPr>
          <w:rFonts w:ascii="IBM Plex Sans" w:cs="IBM Plex Sans" w:eastAsia="IBM Plex Sans" w:hAnsi="IBM Plex Sans"/>
          <w:b/>
          <w:bCs/>
          <w:color w:val="1A365D"/>
          <w:sz w:val="22"/>
          <w:szCs w:val="22"/>
        </w:rPr>
        <w:t xml:space="preserve">Surface &amp; Morphism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BM Plex Sans" w:cs="IBM Plex Sans" w:eastAsia="IBM Plex Sans" w:hAnsi="IBM Plex Sans"/>
          <w:color w:val="0A0A0A"/>
          <w:sz w:val="20"/>
          <w:szCs w:val="20"/>
        </w:rPr>
        <w:t xml:space="preserve">Correct morphism style for context (Soft-Morphism default)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BM Plex Sans" w:cs="IBM Plex Sans" w:eastAsia="IBM Plex Sans" w:hAnsi="IBM Plex Sans"/>
          <w:color w:val="0A0A0A"/>
          <w:sz w:val="20"/>
          <w:szCs w:val="20"/>
        </w:rPr>
        <w:t xml:space="preserve">No overly aggressive shadows or contrast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BM Plex Sans" w:cs="IBM Plex Sans" w:eastAsia="IBM Plex Sans" w:hAnsi="IBM Plex Sans"/>
          <w:color w:val="0A0A0A"/>
          <w:sz w:val="20"/>
          <w:szCs w:val="20"/>
        </w:rPr>
        <w:t xml:space="preserve">Transition durations within spec (0.2–0.4s)</w:t>
      </w:r>
    </w:p>
    <w:p>
      <w:pPr>
        <w:spacing w:before="0" w:after="80"/>
      </w:pPr>
    </w:p>
    <w:p>
      <w:pPr>
        <w:pStyle w:val="Heading3"/>
        <w:spacing w:before="200" w:after="100"/>
      </w:pPr>
      <w:r>
        <w:rPr>
          <w:rFonts w:ascii="IBM Plex Sans" w:cs="IBM Plex Sans" w:eastAsia="IBM Plex Sans" w:hAnsi="IBM Plex Sans"/>
          <w:b/>
          <w:bCs/>
          <w:color w:val="1A365D"/>
          <w:sz w:val="22"/>
          <w:szCs w:val="22"/>
        </w:rPr>
        <w:t xml:space="preserve">Responsive &amp; Accessible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BM Plex Sans" w:cs="IBM Plex Sans" w:eastAsia="IBM Plex Sans" w:hAnsi="IBM Plex Sans"/>
          <w:color w:val="0A0A0A"/>
          <w:sz w:val="20"/>
          <w:szCs w:val="20"/>
        </w:rPr>
        <w:t xml:space="preserve">Layout tested at all four breakpoints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BM Plex Sans" w:cs="IBM Plex Sans" w:eastAsia="IBM Plex Sans" w:hAnsi="IBM Plex Sans"/>
          <w:color w:val="0A0A0A"/>
          <w:sz w:val="20"/>
          <w:szCs w:val="20"/>
        </w:rPr>
        <w:t xml:space="preserve">44px touch targets confirmed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BM Plex Sans" w:cs="IBM Plex Sans" w:eastAsia="IBM Plex Sans" w:hAnsi="IBM Plex Sans"/>
          <w:color w:val="0A0A0A"/>
          <w:sz w:val="20"/>
          <w:szCs w:val="20"/>
        </w:rPr>
        <w:t xml:space="preserve">ARIA labels on all non-text interactive elements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BM Plex Sans" w:cs="IBM Plex Sans" w:eastAsia="IBM Plex Sans" w:hAnsi="IBM Plex Sans"/>
          <w:color w:val="0A0A0A"/>
          <w:sz w:val="20"/>
          <w:szCs w:val="20"/>
        </w:rPr>
        <w:t xml:space="preserve">prefers-reduced-motion respected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BM Plex Sans" w:cs="IBM Plex Sans" w:eastAsia="IBM Plex Sans" w:hAnsi="IBM Plex Sans"/>
          <w:color w:val="0A0A0A"/>
          <w:sz w:val="20"/>
          <w:szCs w:val="20"/>
        </w:rPr>
        <w:t xml:space="preserve">Keyboard navigation functional</w:t>
      </w:r>
    </w:p>
    <w:p>
      <w:pPr>
        <w:spacing w:before="0" w:after="80"/>
      </w:pPr>
    </w:p>
    <w:p>
      <w:pPr>
        <w:pStyle w:val="Heading3"/>
        <w:spacing w:before="200" w:after="100"/>
      </w:pPr>
      <w:r>
        <w:rPr>
          <w:rFonts w:ascii="IBM Plex Sans" w:cs="IBM Plex Sans" w:eastAsia="IBM Plex Sans" w:hAnsi="IBM Plex Sans"/>
          <w:b/>
          <w:bCs/>
          <w:color w:val="1A365D"/>
          <w:sz w:val="22"/>
          <w:szCs w:val="22"/>
        </w:rPr>
        <w:t xml:space="preserve">Documents &amp; Traceability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BM Plex Sans" w:cs="IBM Plex Sans" w:eastAsia="IBM Plex Sans" w:hAnsi="IBM Plex Sans"/>
          <w:color w:val="0A0A0A"/>
          <w:sz w:val="20"/>
          <w:szCs w:val="20"/>
        </w:rPr>
        <w:t xml:space="preserve">Author attribution block present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BM Plex Sans" w:cs="IBM Plex Sans" w:eastAsia="IBM Plex Sans" w:hAnsi="IBM Plex Sans"/>
          <w:color w:val="0A0A0A"/>
          <w:sz w:val="20"/>
          <w:szCs w:val="20"/>
        </w:rPr>
        <w:t xml:space="preserve">Version and date recorded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BM Plex Sans" w:cs="IBM Plex Sans" w:eastAsia="IBM Plex Sans" w:hAnsi="IBM Plex Sans"/>
          <w:color w:val="0A0A0A"/>
          <w:sz w:val="20"/>
          <w:szCs w:val="20"/>
        </w:rPr>
        <w:t xml:space="preserve">Traceability footnote included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BM Plex Sans" w:cs="IBM Plex Sans" w:eastAsia="IBM Plex Sans" w:hAnsi="IBM Plex Sans"/>
          <w:color w:val="0A0A0A"/>
          <w:sz w:val="20"/>
          <w:szCs w:val="20"/>
        </w:rPr>
        <w:t xml:space="preserve">Changelog updated</w:t>
      </w:r>
    </w:p>
    <w:p>
      <w:pPr>
        <w:spacing w:before="0" w:after="80"/>
      </w:pPr>
    </w:p>
    <w:p>
      <w:pPr>
        <w:pStyle w:val="Heading1"/>
        <w:pBdr>
          <w:bottom w:val="single" w:color="2B6CB0" w:sz="8" w:space="6"/>
        </w:pBdr>
        <w:spacing w:before="400" w:after="180"/>
      </w:pPr>
      <w:r>
        <w:rPr>
          <w:rFonts w:ascii="Libre Baskerville" w:cs="Libre Baskerville" w:eastAsia="Libre Baskerville" w:hAnsi="Libre Baskerville"/>
          <w:b/>
          <w:bCs/>
          <w:color w:val="1A365D"/>
          <w:sz w:val="36"/>
          <w:szCs w:val="36"/>
        </w:rPr>
        <w:t xml:space="preserve">APPENDIX A — SURFACE STYLE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8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1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1A365D"/>
                <w:sz w:val="18"/>
                <w:szCs w:val="18"/>
              </w:rPr>
              <w:t xml:space="preserve">Context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1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1A365D"/>
                <w:sz w:val="18"/>
                <w:szCs w:val="18"/>
              </w:rPr>
              <w:t xml:space="preserve">Morphism Style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1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1A365D"/>
                <w:sz w:val="18"/>
                <w:szCs w:val="18"/>
              </w:rPr>
              <w:t xml:space="preserve">Theme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1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1A365D"/>
                <w:sz w:val="18"/>
                <w:szCs w:val="18"/>
              </w:rPr>
              <w:t xml:space="preserve">Font Role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Academic paper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Academic Flat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FOCUS / CLARITY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Serif body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Technical report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Flat + Soft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FOCUS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Serif body, Sans heading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Web dashboard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Soft-Morphism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Any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Sans throughout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SaaS modal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Glassmorphism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Any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Sans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Creative portfolio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Claymorphism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WARMTH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Mixed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Slide deck (formal)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Soft-Morphism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FOCUS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Sans bold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Slide deck (creative)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Soft + Clay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WARMTH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Sans bold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Dark UI / night mode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Soft-Morphism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NIGHTFALL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Sans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Data viz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Flat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Any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IBM Plex Sans" w:cs="IBM Plex Sans" w:eastAsia="IBM Plex Sans" w:hAnsi="IBM Plex Sans"/>
                <w:color w:val="0A0A0A"/>
                <w:sz w:val="19"/>
                <w:szCs w:val="19"/>
              </w:rPr>
              <w:t xml:space="preserve">Sans labels</w:t>
            </w:r>
          </w:p>
        </w:tc>
      </w:tr>
    </w:tbl>
    <w:p>
      <w:pPr>
        <w:spacing w:before="0" w:after="80"/>
      </w:pPr>
    </w:p>
    <w:p>
      <w:pPr>
        <w:pStyle w:val="Heading1"/>
        <w:pBdr>
          <w:bottom w:val="single" w:color="2B6CB0" w:sz="8" w:space="6"/>
        </w:pBdr>
        <w:spacing w:before="400" w:after="180"/>
      </w:pPr>
      <w:r>
        <w:rPr>
          <w:rFonts w:ascii="Libre Baskerville" w:cs="Libre Baskerville" w:eastAsia="Libre Baskerville" w:hAnsi="Libre Baskerville"/>
          <w:b/>
          <w:bCs/>
          <w:color w:val="1A365D"/>
          <w:sz w:val="36"/>
          <w:szCs w:val="36"/>
        </w:rPr>
        <w:t xml:space="preserve">APPENDIX B — ICON USAGE POLICY</w:t>
      </w:r>
    </w:p>
    <w:p>
      <w:pPr>
        <w:pBdr>
          <w:left w:val="single" w:color="2B6CB0" w:sz="12" w:space="12"/>
        </w:pBdr>
        <w:shd w:fill="EBF4FF" w:val="clear"/>
        <w:spacing w:before="120" w:after="120"/>
        <w:ind w:left="540"/>
      </w:pPr>
      <w:r>
        <w:rPr>
          <w:rFonts w:ascii="Libre Baskerville" w:cs="Libre Baskerville" w:eastAsia="Libre Baskerville" w:hAnsi="Libre Baskerville"/>
          <w:i/>
          <w:iCs/>
          <w:color w:val="1A365D"/>
          <w:sz w:val="20"/>
          <w:szCs w:val="20"/>
        </w:rPr>
        <w:t xml:space="preserve">Strict limited use. Icons are functional, never decorative.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BM Plex Sans" w:cs="IBM Plex Sans" w:eastAsia="IBM Plex Sans" w:hAnsi="IBM Plex Sans"/>
          <w:color w:val="0A0A0A"/>
          <w:sz w:val="20"/>
          <w:szCs w:val="20"/>
        </w:rPr>
        <w:t xml:space="preserve">Use icons only where a label alone is insufficient for quick recognition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BM Plex Sans" w:cs="IBM Plex Sans" w:eastAsia="IBM Plex Sans" w:hAnsi="IBM Plex Sans"/>
          <w:color w:val="0A0A0A"/>
          <w:sz w:val="20"/>
          <w:szCs w:val="20"/>
        </w:rPr>
        <w:t xml:space="preserve">Icon size: 16–24px for inline; 32px max for standalone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BM Plex Sans" w:cs="IBM Plex Sans" w:eastAsia="IBM Plex Sans" w:hAnsi="IBM Plex Sans"/>
          <w:color w:val="0A0A0A"/>
          <w:sz w:val="20"/>
          <w:szCs w:val="20"/>
        </w:rPr>
        <w:t xml:space="preserve">Icon style: consistent line-weight, single color (text-primary or accent), no multi-color icons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BM Plex Sans" w:cs="IBM Plex Sans" w:eastAsia="IBM Plex Sans" w:hAnsi="IBM Plex Sans"/>
          <w:color w:val="0A0A0A"/>
          <w:sz w:val="20"/>
          <w:szCs w:val="20"/>
        </w:rPr>
        <w:t xml:space="preserve">Never use icons as substitute for text in academic or formal document contexts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BM Plex Sans" w:cs="IBM Plex Sans" w:eastAsia="IBM Plex Sans" w:hAnsi="IBM Plex Sans"/>
          <w:color w:val="0A0A0A"/>
          <w:sz w:val="20"/>
          <w:szCs w:val="20"/>
        </w:rPr>
        <w:t xml:space="preserve">Emoji: forbidden in formal documents and presentations; permitted in informal UI only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IBM Plex Sans" w:cs="IBM Plex Sans" w:eastAsia="IBM Plex Sans" w:hAnsi="IBM Plex Sans"/>
          <w:color w:val="0A0A0A"/>
          <w:sz w:val="20"/>
          <w:szCs w:val="20"/>
        </w:rPr>
        <w:t xml:space="preserve">Default stroke-width: 1.5px; 2px for emphasis contexts [BACKLOG-DL-001]</w:t>
      </w:r>
    </w:p>
    <w:p>
      <w:pPr>
        <w:spacing w:before="0" w:after="80"/>
      </w:pPr>
    </w:p>
    <w:p>
      <w:pPr>
        <w:pStyle w:val="Heading1"/>
        <w:pBdr>
          <w:bottom w:val="single" w:color="2B6CB0" w:sz="8" w:space="6"/>
        </w:pBdr>
        <w:spacing w:before="400" w:after="180"/>
      </w:pPr>
      <w:r>
        <w:rPr>
          <w:rFonts w:ascii="Libre Baskerville" w:cs="Libre Baskerville" w:eastAsia="Libre Baskerville" w:hAnsi="Libre Baskerville"/>
          <w:b/>
          <w:bCs/>
          <w:color w:val="1A365D"/>
          <w:sz w:val="36"/>
          <w:szCs w:val="36"/>
        </w:rPr>
        <w:t xml:space="preserve">APPENDIX C — DOCUMENT AUTHORSHIP &amp; SIGNATURE TEMPLATE</w:t>
      </w:r>
    </w:p>
    <w:p>
      <w:pPr>
        <w:spacing w:before="0" w:after="100"/>
        <w:jc w:val="left"/>
      </w:pPr>
      <w:r>
        <w:rPr>
          <w:rFonts w:ascii="IBM Plex Sans" w:cs="IBM Plex Sans" w:eastAsia="IBM Plex Sans" w:hAnsi="IBM Plex Sans"/>
          <w:color w:val="0A0A0A"/>
          <w:sz w:val="20"/>
          <w:szCs w:val="20"/>
        </w:rPr>
        <w:t xml:space="preserve">Every ratified output governed by this Canon must include the following block: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Fira Code" w:cs="Fira Code" w:eastAsia="Fira Code" w:hAnsi="Fira Code"/>
                <w:b/>
                <w:bCs/>
                <w:color w:val="888888"/>
                <w:sz w:val="17"/>
                <w:szCs w:val="17"/>
              </w:rPr>
              <w:t xml:space="preserve">Document ID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Fira Code" w:cs="Fira Code" w:eastAsia="Fira Code" w:hAnsi="Fira Code"/>
                <w:color w:val="2B6CB0"/>
                <w:sz w:val="17"/>
                <w:szCs w:val="17"/>
              </w:rPr>
              <w:t xml:space="preserve">[PROJECT-YYYYMMDD-###]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Fira Code" w:cs="Fira Code" w:eastAsia="Fira Code" w:hAnsi="Fira Code"/>
                <w:b/>
                <w:bCs/>
                <w:color w:val="888888"/>
                <w:sz w:val="17"/>
                <w:szCs w:val="17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Fira Code" w:cs="Fira Code" w:eastAsia="Fira Code" w:hAnsi="Fira Code"/>
                <w:color w:val="2B6CB0"/>
                <w:sz w:val="17"/>
                <w:szCs w:val="17"/>
              </w:rPr>
              <w:t xml:space="preserve">[semver]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Fira Code" w:cs="Fira Code" w:eastAsia="Fira Code" w:hAnsi="Fira Code"/>
                <w:b/>
                <w:bCs/>
                <w:color w:val="888888"/>
                <w:sz w:val="17"/>
                <w:szCs w:val="17"/>
              </w:rPr>
              <w:t xml:space="preserve">Author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Fira Code" w:cs="Fira Code" w:eastAsia="Fira Code" w:hAnsi="Fira Code"/>
                <w:color w:val="2B6CB0"/>
                <w:sz w:val="17"/>
                <w:szCs w:val="17"/>
              </w:rPr>
              <w:t xml:space="preserve">Cường.Q.Huỳnh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Fira Code" w:cs="Fira Code" w:eastAsia="Fira Code" w:hAnsi="Fira Code"/>
                <w:b/>
                <w:bCs/>
                <w:color w:val="888888"/>
                <w:sz w:val="17"/>
                <w:szCs w:val="17"/>
              </w:rPr>
              <w:t xml:space="preserve">Assisted by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Fira Code" w:cs="Fira Code" w:eastAsia="Fira Code" w:hAnsi="Fira Code"/>
                <w:color w:val="2B6CB0"/>
                <w:sz w:val="17"/>
                <w:szCs w:val="17"/>
              </w:rPr>
              <w:t xml:space="preserve">[Claude / GPT / Perplexity / Gemini / NotebookLM]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Fira Code" w:cs="Fira Code" w:eastAsia="Fira Code" w:hAnsi="Fira Code"/>
                <w:b/>
                <w:bCs/>
                <w:color w:val="888888"/>
                <w:sz w:val="17"/>
                <w:szCs w:val="17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Fira Code" w:cs="Fira Code" w:eastAsia="Fira Code" w:hAnsi="Fira Code"/>
                <w:color w:val="2B6CB0"/>
                <w:sz w:val="17"/>
                <w:szCs w:val="17"/>
              </w:rPr>
              <w:t xml:space="preserve">[ISO 8601]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Fira Code" w:cs="Fira Code" w:eastAsia="Fira Code" w:hAnsi="Fira Code"/>
                <w:b/>
                <w:bCs/>
                <w:color w:val="888888"/>
                <w:sz w:val="17"/>
                <w:szCs w:val="17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Fira Code" w:cs="Fira Code" w:eastAsia="Fira Code" w:hAnsi="Fira Code"/>
                <w:color w:val="2B6CB0"/>
                <w:sz w:val="17"/>
                <w:szCs w:val="17"/>
              </w:rPr>
              <w:t xml:space="preserve">[DRAFT | REVIEW | RATIFIED]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Fira Code" w:cs="Fira Code" w:eastAsia="Fira Code" w:hAnsi="Fira Code"/>
                <w:b/>
                <w:bCs/>
                <w:color w:val="888888"/>
                <w:sz w:val="17"/>
                <w:szCs w:val="17"/>
              </w:rPr>
              <w:t xml:space="preserve">Doc Hash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Fira Code" w:cs="Fira Code" w:eastAsia="Fira Code" w:hAnsi="Fira Code"/>
                <w:color w:val="2B6CB0"/>
                <w:sz w:val="17"/>
                <w:szCs w:val="17"/>
              </w:rPr>
              <w:t xml:space="preserve">SHA-256([content])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Fira Code" w:cs="Fira Code" w:eastAsia="Fira Code" w:hAnsi="Fira Code"/>
                <w:b/>
                <w:bCs/>
                <w:color w:val="888888"/>
                <w:sz w:val="17"/>
                <w:szCs w:val="17"/>
              </w:rPr>
              <w:t xml:space="preserve">Signed by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Fira Code" w:cs="Fira Code" w:eastAsia="Fira Code" w:hAnsi="Fira Code"/>
                <w:color w:val="2B6CB0"/>
                <w:sz w:val="17"/>
                <w:szCs w:val="17"/>
              </w:rPr>
              <w:t xml:space="preserve">Cường.Q.Huỳnh → [signature]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Fira Code" w:cs="Fira Code" w:eastAsia="Fira Code" w:hAnsi="Fira Code"/>
                <w:b/>
                <w:bCs/>
                <w:color w:val="888888"/>
                <w:sz w:val="17"/>
                <w:szCs w:val="17"/>
              </w:rPr>
              <w:t xml:space="preserve">Signed by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Fira Code" w:cs="Fira Code" w:eastAsia="Fira Code" w:hAnsi="Fira Code"/>
                <w:color w:val="2B6CB0"/>
                <w:sz w:val="17"/>
                <w:szCs w:val="17"/>
              </w:rPr>
              <w:t xml:space="preserve">System → [Claude-Sonnet-4.6 | timestamp]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Fira Code" w:cs="Fira Code" w:eastAsia="Fira Code" w:hAnsi="Fira Code"/>
                <w:b/>
                <w:bCs/>
                <w:color w:val="888888"/>
                <w:sz w:val="17"/>
                <w:szCs w:val="17"/>
              </w:rPr>
              <w:t xml:space="preserve">Signed by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Fira Code" w:cs="Fira Code" w:eastAsia="Fira Code" w:hAnsi="Fira Code"/>
                <w:color w:val="2B6CB0"/>
                <w:sz w:val="17"/>
                <w:szCs w:val="17"/>
              </w:rPr>
              <w:t xml:space="preserve">Authority → [optional]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Fira Code" w:cs="Fira Code" w:eastAsia="Fira Code" w:hAnsi="Fira Code"/>
                <w:b/>
                <w:bCs/>
                <w:color w:val="888888"/>
                <w:sz w:val="17"/>
                <w:szCs w:val="17"/>
              </w:rPr>
              <w:t xml:space="preserve">UUID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40" w:after="40"/>
            </w:pPr>
            <w:r>
              <w:rPr>
                <w:rFonts w:ascii="Fira Code" w:cs="Fira Code" w:eastAsia="Fira Code" w:hAnsi="Fira Code"/>
                <w:color w:val="2B6CB0"/>
                <w:sz w:val="17"/>
                <w:szCs w:val="17"/>
              </w:rPr>
              <w:t xml:space="preserve">[uuidv7 on ratification]</w:t>
            </w:r>
          </w:p>
        </w:tc>
      </w:tr>
    </w:tbl>
    <w:p>
      <w:pPr>
        <w:spacing w:before="0" w:after="80"/>
      </w:pPr>
    </w:p>
    <w:p>
      <w:pPr>
        <w:pBdr>
          <w:bottom w:val="single" w:color="D0D0D0" w:sz="4" w:space="1"/>
        </w:pBdr>
        <w:spacing w:before="120" w:after="120"/>
      </w:pPr>
      <w:r>
        <w:t xml:space="preserve"/>
      </w:r>
    </w:p>
    <w:p>
      <w:pPr>
        <w:spacing w:before="0" w:after="80"/>
      </w:pPr>
    </w:p>
    <w:p>
      <w:pPr>
        <w:spacing w:before="80" w:after="40"/>
        <w:jc w:val="center"/>
      </w:pPr>
      <w:r>
        <w:rPr>
          <w:rFonts w:ascii="Libre Baskerville" w:cs="Libre Baskerville" w:eastAsia="Libre Baskerville" w:hAnsi="Libre Baskerville"/>
          <w:i/>
          <w:iCs/>
          <w:color w:val="888888"/>
          <w:sz w:val="20"/>
          <w:szCs w:val="20"/>
        </w:rPr>
        <w:t xml:space="preserve">End of MASTER CANON DESIGN SPECIFICATION v1.0.1</w:t>
      </w:r>
    </w:p>
    <w:p>
      <w:pPr>
        <w:spacing w:before="0" w:after="80"/>
        <w:jc w:val="center"/>
      </w:pPr>
      <w:r>
        <w:rPr>
          <w:rFonts w:ascii="IBM Plex Sans" w:cs="IBM Plex Sans" w:eastAsia="IBM Plex Sans" w:hAnsi="IBM Plex Sans"/>
          <w:color w:val="888888"/>
          <w:sz w:val="18"/>
          <w:szCs w:val="18"/>
        </w:rPr>
        <w:t xml:space="preserve">Personal IP · All rights reserved · Cường.Q.Huỳnh © 2026</w:t>
      </w:r>
    </w:p>
    <w:sectPr>
      <w:headerReference w:type="default" r:id="rId6"/>
      <w:footerReference w:type="default" r:id="rId7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0D0" w:sz="4" w:space="6"/>
      </w:pBdr>
      <w:jc w:val="right"/>
    </w:pPr>
    <w:r>
      <w:rPr>
        <w:rFonts w:ascii="IBM Plex Sans" w:cs="IBM Plex Sans" w:eastAsia="IBM Plex Sans" w:hAnsi="IBM Plex Sans"/>
        <w:color w:val="888888"/>
        <w:sz w:val="16"/>
        <w:szCs w:val="16"/>
      </w:rPr>
      <w:t xml:space="preserve">Cường.Q.Huỳnh © 2026 · Personal IP  </w:t>
    </w:r>
    <w:r>
      <w:rPr>
        <w:rFonts w:ascii="IBM Plex Sans" w:cs="IBM Plex Sans" w:eastAsia="IBM Plex Sans" w:hAnsi="IBM Plex Sans"/>
        <w:color w:val="888888"/>
        <w:sz w:val="16"/>
        <w:szCs w:val="16"/>
      </w:rPr>
      <w:fldSimple w:instr="PAG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0D0" w:sz="4" w:space="6"/>
      </w:pBdr>
    </w:pPr>
    <w:r>
      <w:rPr>
        <w:rFonts w:ascii="IBM Plex Sans" w:cs="IBM Plex Sans" w:eastAsia="IBM Plex Sans" w:hAnsi="IBM Plex Sans"/>
        <w:color w:val="888888"/>
        <w:sz w:val="16"/>
        <w:szCs w:val="16"/>
      </w:rPr>
      <w:t xml:space="preserve">Master Canon Design Specification  </w:t>
    </w:r>
    <w:r>
      <w:rPr>
        <w:rFonts w:ascii="Fira Code" w:cs="Fira Code" w:eastAsia="Fira Code" w:hAnsi="Fira Code"/>
        <w:color w:val="2B6CB0"/>
        <w:sz w:val="16"/>
        <w:szCs w:val="16"/>
      </w:rPr>
      <w:t xml:space="preserve">DESIGN-CANON-2026-001 · v1.0.1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" w:cs="IBM Plex Sans" w:eastAsia="IBM Plex Sans" w:hAnsi="IBM Plex Sans"/>
        <w:color w:val="0A0A0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Libre Baskerville" w:cs="Libre Baskerville" w:eastAsia="Libre Baskerville" w:hAnsi="Libre Baskerville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Libre Baskerville" w:cs="Libre Baskerville" w:eastAsia="Libre Baskerville" w:hAnsi="Libre Baskerville"/>
      <w:b/>
      <w:bCs/>
      <w:color w:val="2B6CB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IBM Plex Sans" w:cs="IBM Plex Sans" w:eastAsia="IBM Plex Sans" w:hAnsi="IBM Plex Sans"/>
      <w:b/>
      <w:bCs/>
      <w:color w:val="1A365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Master Canon Design Specification</dc:title>
  <dc:subject>Design System</dc:subject>
  <dc:creator>Cường Q. Huỳnh</dc:creator>
  <cp:keywords>design system, IP assets, typography, color, morphism</cp:keywords>
  <dc:description>Personal Universal Design System — DESIGN-CANON-2026-001</dc:description>
  <cp:lastModifiedBy>Un-named</cp:lastModifiedBy>
  <cp:revision>1</cp:revision>
  <dcterms:created xsi:type="dcterms:W3CDTF">2026-03-23T08:33:32.096Z</dcterms:created>
  <dcterms:modified xsi:type="dcterms:W3CDTF">2026-03-23T08:33:32.097Z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