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sz w:val="52"/>
        </w:rPr>
        <w:t>Reference Main Model Architectures for SER</w:t>
      </w:r>
    </w:p>
    <w:p>
      <w:pPr>
        <w:spacing w:after="160"/>
      </w:pPr>
      <w:r>
        <w:t>Google Docs-compatible version generated from the previous CSV. The diagrams below are clean redrawn schematics based on paper descriptions, with links to the original papers and notes on where the original architecture figures appear.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
              <w:rPr>
                <w:rFonts w:ascii="Arial" w:hAnsi="Arial"/>
                <w:b/>
                <w:sz w:val="14"/>
              </w:rPr>
              <w:t>Reference</w:t>
            </w:r>
          </w:p>
        </w:tc>
        <w:tc>
          <w:tcPr>
            <w:tcW w:type="dxa" w:w="1872"/>
            <w:vAlign w:val="center"/>
          </w:tcPr>
          <w:p>
            <w:pPr>
              <w:spacing w:after="0"/>
            </w:pPr>
            <w:r/>
            <w:r>
              <w:rPr>
                <w:rFonts w:ascii="Arial" w:hAnsi="Arial"/>
                <w:b/>
                <w:sz w:val="14"/>
              </w:rPr>
              <w:t>Model idea</w:t>
            </w:r>
          </w:p>
        </w:tc>
        <w:tc>
          <w:tcPr>
            <w:tcW w:type="dxa" w:w="1872"/>
            <w:vAlign w:val="center"/>
          </w:tcPr>
          <w:p>
            <w:pPr>
              <w:spacing w:after="0"/>
            </w:pPr>
            <w:r/>
            <w:r>
              <w:rPr>
                <w:rFonts w:ascii="Arial" w:hAnsi="Arial"/>
                <w:b/>
                <w:sz w:val="14"/>
              </w:rPr>
              <w:t>Dataset setup</w:t>
            </w:r>
          </w:p>
        </w:tc>
        <w:tc>
          <w:tcPr>
            <w:tcW w:type="dxa" w:w="1872"/>
            <w:vAlign w:val="center"/>
          </w:tcPr>
          <w:p>
            <w:pPr>
              <w:spacing w:after="0"/>
            </w:pPr>
            <w:r/>
            <w:r>
              <w:rPr>
                <w:rFonts w:ascii="Arial" w:hAnsi="Arial"/>
                <w:b/>
                <w:sz w:val="14"/>
              </w:rPr>
              <w:t>Reported accuracy</w:t>
            </w:r>
          </w:p>
        </w:tc>
        <w:tc>
          <w:tcPr>
            <w:tcW w:type="dxa" w:w="1872"/>
            <w:vAlign w:val="center"/>
          </w:tcPr>
          <w:p>
            <w:pPr>
              <w:spacing w:after="0"/>
            </w:pPr>
            <w:r/>
            <w:r>
              <w:rPr>
                <w:rFonts w:ascii="Arial" w:hAnsi="Arial"/>
                <w:b/>
                <w:sz w:val="14"/>
              </w:rPr>
              <w:t>Original figure available</w:t>
            </w:r>
          </w:p>
        </w:tc>
      </w:tr>
      <w:tr>
        <w:tc>
          <w:tcPr>
            <w:tcW w:type="dxa" w:w="1872"/>
            <w:vAlign w:val="center"/>
          </w:tcPr>
          <w:p>
            <w:pPr>
              <w:spacing w:after="0"/>
            </w:pPr>
            <w:r/>
            <w:r>
              <w:rPr>
                <w:rFonts w:ascii="Arial" w:hAnsi="Arial"/>
                <w:b w:val="0"/>
                <w:sz w:val="14"/>
              </w:rPr>
              <w:t>Ahmed et al. - Ensemble 1D-CNN-LSTM-GRU</w:t>
            </w:r>
          </w:p>
        </w:tc>
        <w:tc>
          <w:tcPr>
            <w:tcW w:type="dxa" w:w="1872"/>
            <w:vAlign w:val="center"/>
          </w:tcPr>
          <w:p>
            <w:pPr>
              <w:spacing w:after="0"/>
            </w:pPr>
            <w:r/>
            <w:r>
              <w:rPr>
                <w:rFonts w:ascii="Arial" w:hAnsi="Arial"/>
                <w:b w:val="0"/>
                <w:sz w:val="14"/>
              </w:rPr>
              <w:t>Model-A uses repeated local feature acquiring blocks with dilated 1D CNN, max pooling and batch normalization followed by FCN/softmax. Model-B adds LSTM after CNN blocks. Model-C adds GRU after CNN blocks. Model-D performs weighted average ensemble over model-...</w:t>
            </w:r>
          </w:p>
        </w:tc>
        <w:tc>
          <w:tcPr>
            <w:tcW w:type="dxa" w:w="1872"/>
            <w:vAlign w:val="center"/>
          </w:tcPr>
          <w:p>
            <w:pPr>
              <w:spacing w:after="0"/>
            </w:pPr>
            <w:r/>
            <w:r>
              <w:rPr>
                <w:rFonts w:ascii="Arial" w:hAnsi="Arial"/>
                <w:b w:val="0"/>
                <w:sz w:val="14"/>
              </w:rPr>
              <w:t>They report results mainly per dataset, not one strict speaker-aware four-dataset protocol like our combined_strict.</w:t>
            </w:r>
          </w:p>
        </w:tc>
        <w:tc>
          <w:tcPr>
            <w:tcW w:type="dxa" w:w="1872"/>
            <w:vAlign w:val="center"/>
          </w:tcPr>
          <w:p>
            <w:pPr>
              <w:spacing w:after="0"/>
            </w:pPr>
            <w:r/>
            <w:r>
              <w:rPr>
                <w:rFonts w:ascii="Arial" w:hAnsi="Arial"/>
                <w:b w:val="0"/>
                <w:sz w:val="14"/>
              </w:rPr>
              <w:t>TESS 99.46%; EMO-DB 95.42%; RAVDESS 95.62%; SAVEE 93.22%; CREMA-D 90.47%.</w:t>
            </w:r>
          </w:p>
        </w:tc>
        <w:tc>
          <w:tcPr>
            <w:tcW w:type="dxa" w:w="1872"/>
            <w:vAlign w:val="center"/>
          </w:tcPr>
          <w:p>
            <w:pPr>
              <w:spacing w:after="0"/>
            </w:pPr>
            <w:r/>
            <w:r>
              <w:rPr>
                <w:rFonts w:ascii="Arial" w:hAnsi="Arial"/>
                <w:b w:val="0"/>
                <w:sz w:val="14"/>
              </w:rPr>
              <w:t>Paper PDF: Fig. 1 generic SER workflow; Fig. 2 model-A 1D CNNs-FCNs; Fig. 3 model-B 1D CNNs-LSTM-FCNs; Fig. 5 model-C 1D CNNs-GRU-FCNs; Fig. 6 weighted ensemble model-D.</w:t>
            </w:r>
          </w:p>
        </w:tc>
      </w:tr>
      <w:tr>
        <w:tc>
          <w:tcPr>
            <w:tcW w:type="dxa" w:w="1872"/>
            <w:vAlign w:val="center"/>
          </w:tcPr>
          <w:p>
            <w:pPr>
              <w:spacing w:after="0"/>
            </w:pPr>
            <w:r/>
            <w:r>
              <w:rPr>
                <w:rFonts w:ascii="Arial" w:hAnsi="Arial"/>
                <w:b w:val="0"/>
                <w:sz w:val="14"/>
              </w:rPr>
              <w:t>Lee &amp; Nadeem - Spectral Learning and Attention 1D-CNN</w:t>
            </w:r>
          </w:p>
        </w:tc>
        <w:tc>
          <w:tcPr>
            <w:tcW w:type="dxa" w:w="1872"/>
            <w:vAlign w:val="center"/>
          </w:tcPr>
          <w:p>
            <w:pPr>
              <w:spacing w:after="0"/>
            </w:pPr>
            <w:r/>
            <w:r>
              <w:rPr>
                <w:rFonts w:ascii="Arial" w:hAnsi="Arial"/>
                <w:b w:val="0"/>
                <w:sz w:val="14"/>
              </w:rPr>
              <w:t>1D-CNN processes MFCC features, enhanced by channel attention and spatial attention so the network can emphasize emotionally informative feature channels and time regions.</w:t>
            </w:r>
          </w:p>
        </w:tc>
        <w:tc>
          <w:tcPr>
            <w:tcW w:type="dxa" w:w="1872"/>
            <w:vAlign w:val="center"/>
          </w:tcPr>
          <w:p>
            <w:pPr>
              <w:spacing w:after="0"/>
            </w:pPr>
            <w:r/>
            <w:r>
              <w:rPr>
                <w:rFonts w:ascii="Arial" w:hAnsi="Arial"/>
                <w:b w:val="0"/>
                <w:sz w:val="14"/>
              </w:rPr>
              <w:t>Reports benchmark performance on each dataset separately; not presented as our four-dataset combined strict split.</w:t>
            </w:r>
          </w:p>
        </w:tc>
        <w:tc>
          <w:tcPr>
            <w:tcW w:type="dxa" w:w="1872"/>
            <w:vAlign w:val="center"/>
          </w:tcPr>
          <w:p>
            <w:pPr>
              <w:spacing w:after="0"/>
            </w:pPr>
            <w:r/>
            <w:r>
              <w:rPr>
                <w:rFonts w:ascii="Arial" w:hAnsi="Arial"/>
                <w:b w:val="0"/>
                <w:sz w:val="14"/>
              </w:rPr>
              <w:t>SAVEE 97.49%; RAVDESS 99.23%; CREMA-D 89.31%; TESS 99.82%; EMO-DB 99.53%; EMOVO 96.39%.</w:t>
            </w:r>
          </w:p>
        </w:tc>
        <w:tc>
          <w:tcPr>
            <w:tcW w:type="dxa" w:w="1872"/>
            <w:vAlign w:val="center"/>
          </w:tcPr>
          <w:p>
            <w:pPr>
              <w:spacing w:after="0"/>
            </w:pPr>
            <w:r/>
            <w:r>
              <w:rPr>
                <w:rFonts w:ascii="Arial" w:hAnsi="Arial"/>
                <w:b w:val="0"/>
                <w:sz w:val="14"/>
              </w:rPr>
              <w:t>Paper PDF: Fig. 4 framework with MFCC feature extraction, data augmentation and 1D-CNN with channel/spatial attention. GitHub repository also has a figure folder and README images.</w:t>
            </w:r>
          </w:p>
        </w:tc>
      </w:tr>
      <w:tr>
        <w:tc>
          <w:tcPr>
            <w:tcW w:type="dxa" w:w="1872"/>
            <w:vAlign w:val="center"/>
          </w:tcPr>
          <w:p>
            <w:pPr>
              <w:spacing w:after="0"/>
            </w:pPr>
            <w:r/>
            <w:r>
              <w:rPr>
                <w:rFonts w:ascii="Arial" w:hAnsi="Arial"/>
                <w:b w:val="0"/>
                <w:sz w:val="14"/>
              </w:rPr>
              <w:t>Chowdhury et al. - DCRF-BiLSTM Feature Engineering</w:t>
            </w:r>
          </w:p>
        </w:tc>
        <w:tc>
          <w:tcPr>
            <w:tcW w:type="dxa" w:w="1872"/>
            <w:vAlign w:val="center"/>
          </w:tcPr>
          <w:p>
            <w:pPr>
              <w:spacing w:after="0"/>
            </w:pPr>
            <w:r/>
            <w:r>
              <w:rPr>
                <w:rFonts w:ascii="Arial" w:hAnsi="Arial"/>
                <w:b w:val="0"/>
                <w:sz w:val="14"/>
              </w:rPr>
              <w:t>Deep Conditional Random Fields plus BiLSTM. BiLSTM learns temporal dependencies in both forward/backward directions, while DeepCRF adds structured prediction over sequence representations.</w:t>
            </w:r>
          </w:p>
        </w:tc>
        <w:tc>
          <w:tcPr>
            <w:tcW w:type="dxa" w:w="1872"/>
            <w:vAlign w:val="center"/>
          </w:tcPr>
          <w:p>
            <w:pPr>
              <w:spacing w:after="0"/>
            </w:pPr>
            <w:r/>
            <w:r>
              <w:rPr>
                <w:rFonts w:ascii="Arial" w:hAnsi="Arial"/>
                <w:b w:val="0"/>
                <w:sz w:val="14"/>
              </w:rPr>
              <w:t>Reports individual datasets and combined sets, including R+T+S and R+T+S+E+C.</w:t>
            </w:r>
          </w:p>
        </w:tc>
        <w:tc>
          <w:tcPr>
            <w:tcW w:type="dxa" w:w="1872"/>
            <w:vAlign w:val="center"/>
          </w:tcPr>
          <w:p>
            <w:pPr>
              <w:spacing w:after="0"/>
            </w:pPr>
            <w:r/>
            <w:r>
              <w:rPr>
                <w:rFonts w:ascii="Arial" w:hAnsi="Arial"/>
                <w:b w:val="0"/>
                <w:sz w:val="14"/>
              </w:rPr>
              <w:t>RAVDESS 97.83%; SAVEE 97.02%; CREMA-D 95.10%; TESS 100%; EMO-DB 100%; R+T+S 98.82%; R+T+S+E+C 93.76%.</w:t>
            </w:r>
          </w:p>
        </w:tc>
        <w:tc>
          <w:tcPr>
            <w:tcW w:type="dxa" w:w="1872"/>
            <w:vAlign w:val="center"/>
          </w:tcPr>
          <w:p>
            <w:pPr>
              <w:spacing w:after="0"/>
            </w:pPr>
            <w:r/>
            <w:r>
              <w:rPr>
                <w:rFonts w:ascii="Arial" w:hAnsi="Arial"/>
                <w:b w:val="0"/>
                <w:sz w:val="14"/>
              </w:rPr>
              <w:t>Paper PDF: Figure 1 system overview of DCRF-BiLSTM framework; Figures 2-4 show spectrogram/waveform preprocessing and augmentation visualizations.</w:t>
            </w:r>
          </w:p>
        </w:tc>
      </w:tr>
    </w:tbl>
    <w:p/>
    <w:p>
      <w:pPr>
        <w:pStyle w:val="Heading1"/>
      </w:pPr>
      <w:r>
        <w:t>Ahmed et al. - Ensemble 1D-CNN-LSTM-GRU</w:t>
      </w:r>
    </w:p>
    <w:p>
      <w:pPr>
        <w:jc w:val="center"/>
      </w:pPr>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ahmed_ensemble_architecture_redraw.png"/>
                    <pic:cNvPicPr/>
                  </pic:nvPicPr>
                  <pic:blipFill>
                    <a:blip r:embed="rId9"/>
                    <a:stretch>
                      <a:fillRect/>
                    </a:stretch>
                  </pic:blipFill>
                  <pic:spPr>
                    <a:xfrm>
                      <a:off x="0" y="0"/>
                      <a:ext cx="5943600" cy="3417570"/>
                    </a:xfrm>
                    <a:prstGeom prst="rect"/>
                  </pic:spPr>
                </pic:pic>
              </a:graphicData>
            </a:graphic>
          </wp:inline>
        </w:drawing>
      </w:r>
    </w:p>
    <w:p>
      <w:pPr>
        <w:jc w:val="center"/>
      </w:pPr>
      <w:r>
        <w:rPr>
          <w:rFonts w:ascii="Arial" w:hAnsi="Arial"/>
          <w:i/>
          <w:color w:val="555555"/>
          <w:sz w:val="18"/>
        </w:rPr>
        <w:t>Redrawn architecture schematic for Ahmed et al. - Ensemble 1D-CNN-LSTM-GRU.</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after="0"/>
            </w:pPr>
            <w:r/>
            <w:r>
              <w:rPr>
                <w:rFonts w:ascii="Arial" w:hAnsi="Arial"/>
                <w:b/>
                <w:sz w:val="16"/>
              </w:rPr>
              <w:t>Item</w:t>
            </w:r>
          </w:p>
        </w:tc>
        <w:tc>
          <w:tcPr>
            <w:tcW w:type="dxa" w:w="4680"/>
            <w:vAlign w:val="center"/>
          </w:tcPr>
          <w:p>
            <w:pPr>
              <w:spacing w:after="0"/>
            </w:pPr>
            <w:r/>
            <w:r>
              <w:rPr>
                <w:rFonts w:ascii="Arial" w:hAnsi="Arial"/>
                <w:b/>
                <w:sz w:val="16"/>
              </w:rPr>
              <w:t>Details</w:t>
            </w:r>
          </w:p>
        </w:tc>
      </w:tr>
      <w:tr>
        <w:tc>
          <w:tcPr>
            <w:tcW w:type="dxa" w:w="4680"/>
            <w:vAlign w:val="center"/>
          </w:tcPr>
          <w:p>
            <w:pPr>
              <w:spacing w:after="0"/>
            </w:pPr>
            <w:r/>
            <w:r>
              <w:rPr>
                <w:rFonts w:ascii="Arial" w:hAnsi="Arial"/>
                <w:b w:val="0"/>
                <w:sz w:val="16"/>
              </w:rPr>
              <w:t>Paper</w:t>
            </w:r>
          </w:p>
        </w:tc>
        <w:tc>
          <w:tcPr>
            <w:tcW w:type="dxa" w:w="4680"/>
            <w:vAlign w:val="center"/>
          </w:tcPr>
          <w:p>
            <w:pPr>
              <w:spacing w:after="0"/>
            </w:pPr>
            <w:r/>
            <w:r>
              <w:rPr>
                <w:rFonts w:ascii="Arial" w:hAnsi="Arial"/>
                <w:b w:val="0"/>
                <w:sz w:val="16"/>
              </w:rPr>
              <w:t>https://arxiv.org/abs/2112.05666</w:t>
            </w:r>
          </w:p>
        </w:tc>
      </w:tr>
      <w:tr>
        <w:tc>
          <w:tcPr>
            <w:tcW w:type="dxa" w:w="4680"/>
            <w:vAlign w:val="center"/>
          </w:tcPr>
          <w:p>
            <w:pPr>
              <w:spacing w:after="0"/>
            </w:pPr>
            <w:r/>
            <w:r>
              <w:rPr>
                <w:rFonts w:ascii="Arial" w:hAnsi="Arial"/>
                <w:b w:val="0"/>
                <w:sz w:val="16"/>
              </w:rPr>
              <w:t>PDF</w:t>
            </w:r>
          </w:p>
        </w:tc>
        <w:tc>
          <w:tcPr>
            <w:tcW w:type="dxa" w:w="4680"/>
            <w:vAlign w:val="center"/>
          </w:tcPr>
          <w:p>
            <w:pPr>
              <w:spacing w:after="0"/>
            </w:pPr>
            <w:r/>
            <w:r>
              <w:rPr>
                <w:rFonts w:ascii="Arial" w:hAnsi="Arial"/>
                <w:b w:val="0"/>
                <w:sz w:val="16"/>
              </w:rPr>
              <w:t>https://arxiv.org/pdf/2112.05666</w:t>
            </w:r>
          </w:p>
        </w:tc>
      </w:tr>
      <w:tr>
        <w:tc>
          <w:tcPr>
            <w:tcW w:type="dxa" w:w="4680"/>
            <w:vAlign w:val="center"/>
          </w:tcPr>
          <w:p>
            <w:pPr>
              <w:spacing w:after="0"/>
            </w:pPr>
            <w:r/>
            <w:r>
              <w:rPr>
                <w:rFonts w:ascii="Arial" w:hAnsi="Arial"/>
                <w:b w:val="0"/>
                <w:sz w:val="16"/>
              </w:rPr>
              <w:t>Code</w:t>
            </w:r>
          </w:p>
        </w:tc>
        <w:tc>
          <w:tcPr>
            <w:tcW w:type="dxa" w:w="4680"/>
            <w:vAlign w:val="center"/>
          </w:tcPr>
          <w:p>
            <w:pPr>
              <w:spacing w:after="0"/>
            </w:pPr>
            <w:r/>
            <w:r>
              <w:rPr>
                <w:rFonts w:ascii="Arial" w:hAnsi="Arial"/>
                <w:b w:val="0"/>
                <w:sz w:val="16"/>
              </w:rPr>
              <w:t>Not found from the paper page/search; paper does not expose an official GitHub link.</w:t>
            </w:r>
          </w:p>
        </w:tc>
      </w:tr>
      <w:tr>
        <w:tc>
          <w:tcPr>
            <w:tcW w:type="dxa" w:w="4680"/>
            <w:vAlign w:val="center"/>
          </w:tcPr>
          <w:p>
            <w:pPr>
              <w:spacing w:after="0"/>
            </w:pPr>
            <w:r/>
            <w:r>
              <w:rPr>
                <w:rFonts w:ascii="Arial" w:hAnsi="Arial"/>
                <w:b w:val="0"/>
                <w:sz w:val="16"/>
              </w:rPr>
              <w:t>Original architecture image</w:t>
            </w:r>
          </w:p>
        </w:tc>
        <w:tc>
          <w:tcPr>
            <w:tcW w:type="dxa" w:w="4680"/>
            <w:vAlign w:val="center"/>
          </w:tcPr>
          <w:p>
            <w:pPr>
              <w:spacing w:after="0"/>
            </w:pPr>
            <w:r/>
            <w:r>
              <w:rPr>
                <w:rFonts w:ascii="Arial" w:hAnsi="Arial"/>
                <w:b w:val="0"/>
                <w:sz w:val="16"/>
              </w:rPr>
              <w:t>Paper PDF: Fig. 1 generic SER workflow; Fig. 2 model-A 1D CNNs-FCNs; Fig. 3 model-B 1D CNNs-LSTM-FCNs; Fig. 5 model-C 1D CNNs-GRU-FCNs; Fig. 6 weighted ensemble model-D.</w:t>
            </w:r>
          </w:p>
        </w:tc>
      </w:tr>
      <w:tr>
        <w:tc>
          <w:tcPr>
            <w:tcW w:type="dxa" w:w="4680"/>
            <w:vAlign w:val="center"/>
          </w:tcPr>
          <w:p>
            <w:pPr>
              <w:spacing w:after="0"/>
            </w:pPr>
            <w:r/>
            <w:r>
              <w:rPr>
                <w:rFonts w:ascii="Arial" w:hAnsi="Arial"/>
                <w:b w:val="0"/>
                <w:sz w:val="16"/>
              </w:rPr>
              <w:t>Datasets</w:t>
            </w:r>
          </w:p>
        </w:tc>
        <w:tc>
          <w:tcPr>
            <w:tcW w:type="dxa" w:w="4680"/>
            <w:vAlign w:val="center"/>
          </w:tcPr>
          <w:p>
            <w:pPr>
              <w:spacing w:after="0"/>
            </w:pPr>
            <w:r/>
            <w:r>
              <w:rPr>
                <w:rFonts w:ascii="Arial" w:hAnsi="Arial"/>
                <w:b w:val="0"/>
                <w:sz w:val="16"/>
              </w:rPr>
              <w:t>TESS, EMO-DB, RAVDESS, SAVEE, CREMA-D</w:t>
            </w:r>
          </w:p>
        </w:tc>
      </w:tr>
      <w:tr>
        <w:tc>
          <w:tcPr>
            <w:tcW w:type="dxa" w:w="4680"/>
            <w:vAlign w:val="center"/>
          </w:tcPr>
          <w:p>
            <w:pPr>
              <w:spacing w:after="0"/>
            </w:pPr>
            <w:r/>
            <w:r>
              <w:rPr>
                <w:rFonts w:ascii="Arial" w:hAnsi="Arial"/>
                <w:b w:val="0"/>
                <w:sz w:val="16"/>
              </w:rPr>
              <w:t>Dataset combination</w:t>
            </w:r>
          </w:p>
        </w:tc>
        <w:tc>
          <w:tcPr>
            <w:tcW w:type="dxa" w:w="4680"/>
            <w:vAlign w:val="center"/>
          </w:tcPr>
          <w:p>
            <w:pPr>
              <w:spacing w:after="0"/>
            </w:pPr>
            <w:r/>
            <w:r>
              <w:rPr>
                <w:rFonts w:ascii="Arial" w:hAnsi="Arial"/>
                <w:b w:val="0"/>
                <w:sz w:val="16"/>
              </w:rPr>
              <w:t>They report results mainly per dataset, not one strict speaker-aware four-dataset protocol like our combined_strict.</w:t>
            </w:r>
          </w:p>
        </w:tc>
      </w:tr>
      <w:tr>
        <w:tc>
          <w:tcPr>
            <w:tcW w:type="dxa" w:w="4680"/>
            <w:vAlign w:val="center"/>
          </w:tcPr>
          <w:p>
            <w:pPr>
              <w:spacing w:after="0"/>
            </w:pPr>
            <w:r/>
            <w:r>
              <w:rPr>
                <w:rFonts w:ascii="Arial" w:hAnsi="Arial"/>
                <w:b w:val="0"/>
                <w:sz w:val="16"/>
              </w:rPr>
              <w:t>Train/validation/test split</w:t>
            </w:r>
          </w:p>
        </w:tc>
        <w:tc>
          <w:tcPr>
            <w:tcW w:type="dxa" w:w="4680"/>
            <w:vAlign w:val="center"/>
          </w:tcPr>
          <w:p>
            <w:pPr>
              <w:spacing w:after="0"/>
            </w:pPr>
            <w:r/>
            <w:r>
              <w:rPr>
                <w:rFonts w:ascii="Arial" w:hAnsi="Arial"/>
                <w:b w:val="0"/>
                <w:sz w:val="16"/>
              </w:rPr>
              <w:t>Paper states data is divided into train/test with 80:20 proportion; 20% of training data is used for validation and remaining 80% for training. This is random-style and not described as speaker-disjoint.</w:t>
            </w:r>
          </w:p>
        </w:tc>
      </w:tr>
      <w:tr>
        <w:tc>
          <w:tcPr>
            <w:tcW w:type="dxa" w:w="4680"/>
            <w:vAlign w:val="center"/>
          </w:tcPr>
          <w:p>
            <w:pPr>
              <w:spacing w:after="0"/>
            </w:pPr>
            <w:r/>
            <w:r>
              <w:rPr>
                <w:rFonts w:ascii="Arial" w:hAnsi="Arial"/>
                <w:b w:val="0"/>
                <w:sz w:val="16"/>
              </w:rPr>
              <w:t>Preprocessing</w:t>
            </w:r>
          </w:p>
        </w:tc>
        <w:tc>
          <w:tcPr>
            <w:tcW w:type="dxa" w:w="4680"/>
            <w:vAlign w:val="center"/>
          </w:tcPr>
          <w:p>
            <w:pPr>
              <w:spacing w:after="0"/>
            </w:pPr>
            <w:r/>
            <w:r>
              <w:rPr>
                <w:rFonts w:ascii="Arial" w:hAnsi="Arial"/>
                <w:b w:val="0"/>
                <w:sz w:val="16"/>
              </w:rPr>
              <w:t>Audio files resized to fixed length; augmentation is used to increase training data and address imbalance.</w:t>
            </w:r>
          </w:p>
        </w:tc>
      </w:tr>
      <w:tr>
        <w:tc>
          <w:tcPr>
            <w:tcW w:type="dxa" w:w="4680"/>
            <w:vAlign w:val="center"/>
          </w:tcPr>
          <w:p>
            <w:pPr>
              <w:spacing w:after="0"/>
            </w:pPr>
            <w:r/>
            <w:r>
              <w:rPr>
                <w:rFonts w:ascii="Arial" w:hAnsi="Arial"/>
                <w:b w:val="0"/>
                <w:sz w:val="16"/>
              </w:rPr>
              <w:t>Features</w:t>
            </w:r>
          </w:p>
        </w:tc>
        <w:tc>
          <w:tcPr>
            <w:tcW w:type="dxa" w:w="4680"/>
            <w:vAlign w:val="center"/>
          </w:tcPr>
          <w:p>
            <w:pPr>
              <w:spacing w:after="0"/>
            </w:pPr>
            <w:r/>
            <w:r>
              <w:rPr>
                <w:rFonts w:ascii="Arial" w:hAnsi="Arial"/>
                <w:b w:val="0"/>
                <w:sz w:val="16"/>
              </w:rPr>
              <w:t>MFCC, log Mel-scaled spectrogram, zero-crossing rate, chromagram, RMS energy.</w:t>
            </w:r>
          </w:p>
        </w:tc>
      </w:tr>
      <w:tr>
        <w:tc>
          <w:tcPr>
            <w:tcW w:type="dxa" w:w="4680"/>
            <w:vAlign w:val="center"/>
          </w:tcPr>
          <w:p>
            <w:pPr>
              <w:spacing w:after="0"/>
            </w:pPr>
            <w:r/>
            <w:r>
              <w:rPr>
                <w:rFonts w:ascii="Arial" w:hAnsi="Arial"/>
                <w:b w:val="0"/>
                <w:sz w:val="16"/>
              </w:rPr>
              <w:t>Augmentation</w:t>
            </w:r>
          </w:p>
        </w:tc>
        <w:tc>
          <w:tcPr>
            <w:tcW w:type="dxa" w:w="4680"/>
            <w:vAlign w:val="center"/>
          </w:tcPr>
          <w:p>
            <w:pPr>
              <w:spacing w:after="0"/>
            </w:pPr>
            <w:r/>
            <w:r>
              <w:rPr>
                <w:rFonts w:ascii="Arial" w:hAnsi="Arial"/>
                <w:b w:val="0"/>
                <w:sz w:val="16"/>
              </w:rPr>
              <w:t>Additive white Gaussian noise, pitch shifting, and time/signal stretching.</w:t>
            </w:r>
          </w:p>
        </w:tc>
      </w:tr>
      <w:tr>
        <w:tc>
          <w:tcPr>
            <w:tcW w:type="dxa" w:w="4680"/>
            <w:vAlign w:val="center"/>
          </w:tcPr>
          <w:p>
            <w:pPr>
              <w:spacing w:after="0"/>
            </w:pPr>
            <w:r/>
            <w:r>
              <w:rPr>
                <w:rFonts w:ascii="Arial" w:hAnsi="Arial"/>
                <w:b w:val="0"/>
                <w:sz w:val="16"/>
              </w:rPr>
              <w:t>Architecture</w:t>
            </w:r>
          </w:p>
        </w:tc>
        <w:tc>
          <w:tcPr>
            <w:tcW w:type="dxa" w:w="4680"/>
            <w:vAlign w:val="center"/>
          </w:tcPr>
          <w:p>
            <w:pPr>
              <w:spacing w:after="0"/>
            </w:pPr>
            <w:r/>
            <w:r>
              <w:rPr>
                <w:rFonts w:ascii="Arial" w:hAnsi="Arial"/>
                <w:b w:val="0"/>
                <w:sz w:val="16"/>
              </w:rPr>
              <w:t>Model-A uses repeated local feature acquiring blocks with dilated 1D CNN, max pooling and batch normalization followed by FCN/softmax. Model-B adds LSTM after CNN blocks. Model-C adds GRU after CNN blocks. Model-D performs weighted average ensemble over model-A/B/C probability outputs.</w:t>
            </w:r>
          </w:p>
        </w:tc>
      </w:tr>
      <w:tr>
        <w:tc>
          <w:tcPr>
            <w:tcW w:type="dxa" w:w="4680"/>
            <w:vAlign w:val="center"/>
          </w:tcPr>
          <w:p>
            <w:pPr>
              <w:spacing w:after="0"/>
            </w:pPr>
            <w:r/>
            <w:r>
              <w:rPr>
                <w:rFonts w:ascii="Arial" w:hAnsi="Arial"/>
                <w:b w:val="0"/>
                <w:sz w:val="16"/>
              </w:rPr>
              <w:t>Reported accuracy</w:t>
            </w:r>
          </w:p>
        </w:tc>
        <w:tc>
          <w:tcPr>
            <w:tcW w:type="dxa" w:w="4680"/>
            <w:vAlign w:val="center"/>
          </w:tcPr>
          <w:p>
            <w:pPr>
              <w:spacing w:after="0"/>
            </w:pPr>
            <w:r/>
            <w:r>
              <w:rPr>
                <w:rFonts w:ascii="Arial" w:hAnsi="Arial"/>
                <w:b w:val="0"/>
                <w:sz w:val="16"/>
              </w:rPr>
              <w:t>TESS 99.46%; EMO-DB 95.42%; RAVDESS 95.62%; SAVEE 93.22%; CREMA-D 90.47%.</w:t>
            </w:r>
          </w:p>
        </w:tc>
      </w:tr>
      <w:tr>
        <w:tc>
          <w:tcPr>
            <w:tcW w:type="dxa" w:w="4680"/>
            <w:vAlign w:val="center"/>
          </w:tcPr>
          <w:p>
            <w:pPr>
              <w:spacing w:after="0"/>
            </w:pPr>
            <w:r/>
            <w:r>
              <w:rPr>
                <w:rFonts w:ascii="Arial" w:hAnsi="Arial"/>
                <w:b w:val="0"/>
                <w:sz w:val="16"/>
              </w:rPr>
              <w:t>Why high performance</w:t>
            </w:r>
          </w:p>
        </w:tc>
        <w:tc>
          <w:tcPr>
            <w:tcW w:type="dxa" w:w="4680"/>
            <w:vAlign w:val="center"/>
          </w:tcPr>
          <w:p>
            <w:pPr>
              <w:spacing w:after="0"/>
            </w:pPr>
            <w:r/>
            <w:r>
              <w:rPr>
                <w:rFonts w:ascii="Arial" w:hAnsi="Arial"/>
                <w:b w:val="0"/>
                <w:sz w:val="16"/>
              </w:rPr>
              <w:t>Single-dataset/random-style evaluation, strong augmentation, multiple features, recurrent context modeling, and weighted ensemble reduce variance.</w:t>
            </w:r>
          </w:p>
        </w:tc>
      </w:tr>
      <w:tr>
        <w:tc>
          <w:tcPr>
            <w:tcW w:type="dxa" w:w="4680"/>
            <w:vAlign w:val="center"/>
          </w:tcPr>
          <w:p>
            <w:pPr>
              <w:spacing w:after="0"/>
            </w:pPr>
            <w:r/>
            <w:r>
              <w:rPr>
                <w:rFonts w:ascii="Arial" w:hAnsi="Arial"/>
                <w:b w:val="0"/>
                <w:sz w:val="16"/>
              </w:rPr>
              <w:t>Limit for our comparison</w:t>
            </w:r>
          </w:p>
        </w:tc>
        <w:tc>
          <w:tcPr>
            <w:tcW w:type="dxa" w:w="4680"/>
            <w:vAlign w:val="center"/>
          </w:tcPr>
          <w:p>
            <w:pPr>
              <w:spacing w:after="0"/>
            </w:pPr>
            <w:r/>
            <w:r>
              <w:rPr>
                <w:rFonts w:ascii="Arial" w:hAnsi="Arial"/>
                <w:b w:val="0"/>
                <w:sz w:val="16"/>
              </w:rPr>
              <w:t>Not directly comparable to our combined_strict speaker-aware test because their protocol is not described as speaker-disjoint and reports per-dataset results.</w:t>
            </w:r>
          </w:p>
        </w:tc>
      </w:tr>
      <w:tr>
        <w:tc>
          <w:tcPr>
            <w:tcW w:type="dxa" w:w="4680"/>
            <w:vAlign w:val="center"/>
          </w:tcPr>
          <w:p>
            <w:pPr>
              <w:spacing w:after="0"/>
            </w:pPr>
            <w:r/>
            <w:r>
              <w:rPr>
                <w:rFonts w:ascii="Arial" w:hAnsi="Arial"/>
                <w:b w:val="0"/>
                <w:sz w:val="16"/>
              </w:rPr>
              <w:t>What to adapt for our 05</w:t>
            </w:r>
          </w:p>
        </w:tc>
        <w:tc>
          <w:tcPr>
            <w:tcW w:type="dxa" w:w="4680"/>
            <w:vAlign w:val="center"/>
          </w:tcPr>
          <w:p>
            <w:pPr>
              <w:spacing w:after="0"/>
            </w:pPr>
            <w:r/>
            <w:r>
              <w:rPr>
                <w:rFonts w:ascii="Arial" w:hAnsi="Arial"/>
                <w:b w:val="0"/>
                <w:sz w:val="16"/>
              </w:rPr>
              <w:t>Add dual_bigru variant, keep attention/pooling, and later add probability ensemble over dual_attention, dual_bigru and logmel_2d.</w:t>
            </w:r>
          </w:p>
        </w:tc>
      </w:tr>
    </w:tbl>
    <w:p/>
    <w:p>
      <w:pPr>
        <w:pStyle w:val="Heading1"/>
      </w:pPr>
      <w:r>
        <w:t>Lee &amp; Nadeem - Spectral Learning and Attention 1D-CNN</w:t>
      </w:r>
    </w:p>
    <w:p>
      <w:pPr>
        <w:jc w:val="center"/>
      </w:pPr>
      <w:r>
        <w:drawing>
          <wp:inline xmlns:a="http://schemas.openxmlformats.org/drawingml/2006/main" xmlns:pic="http://schemas.openxmlformats.org/drawingml/2006/picture">
            <wp:extent cx="5943600" cy="3417570"/>
            <wp:docPr id="2" name="Picture 2"/>
            <wp:cNvGraphicFramePr>
              <a:graphicFrameLocks noChangeAspect="1"/>
            </wp:cNvGraphicFramePr>
            <a:graphic>
              <a:graphicData uri="http://schemas.openxmlformats.org/drawingml/2006/picture">
                <pic:pic>
                  <pic:nvPicPr>
                    <pic:cNvPr id="0" name="lee_attention_architecture_redraw.png"/>
                    <pic:cNvPicPr/>
                  </pic:nvPicPr>
                  <pic:blipFill>
                    <a:blip r:embed="rId10"/>
                    <a:stretch>
                      <a:fillRect/>
                    </a:stretch>
                  </pic:blipFill>
                  <pic:spPr>
                    <a:xfrm>
                      <a:off x="0" y="0"/>
                      <a:ext cx="5943600" cy="3417570"/>
                    </a:xfrm>
                    <a:prstGeom prst="rect"/>
                  </pic:spPr>
                </pic:pic>
              </a:graphicData>
            </a:graphic>
          </wp:inline>
        </w:drawing>
      </w:r>
    </w:p>
    <w:p>
      <w:pPr>
        <w:jc w:val="center"/>
      </w:pPr>
      <w:r>
        <w:rPr>
          <w:rFonts w:ascii="Arial" w:hAnsi="Arial"/>
          <w:i/>
          <w:color w:val="555555"/>
          <w:sz w:val="18"/>
        </w:rPr>
        <w:t>Redrawn architecture schematic for Lee &amp; Nadeem - Spectral Learning and Attention 1D-CNN.</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after="0"/>
            </w:pPr>
            <w:r/>
            <w:r>
              <w:rPr>
                <w:rFonts w:ascii="Arial" w:hAnsi="Arial"/>
                <w:b/>
                <w:sz w:val="16"/>
              </w:rPr>
              <w:t>Item</w:t>
            </w:r>
          </w:p>
        </w:tc>
        <w:tc>
          <w:tcPr>
            <w:tcW w:type="dxa" w:w="4680"/>
            <w:vAlign w:val="center"/>
          </w:tcPr>
          <w:p>
            <w:pPr>
              <w:spacing w:after="0"/>
            </w:pPr>
            <w:r/>
            <w:r>
              <w:rPr>
                <w:rFonts w:ascii="Arial" w:hAnsi="Arial"/>
                <w:b/>
                <w:sz w:val="16"/>
              </w:rPr>
              <w:t>Details</w:t>
            </w:r>
          </w:p>
        </w:tc>
      </w:tr>
      <w:tr>
        <w:tc>
          <w:tcPr>
            <w:tcW w:type="dxa" w:w="4680"/>
            <w:vAlign w:val="center"/>
          </w:tcPr>
          <w:p>
            <w:pPr>
              <w:spacing w:after="0"/>
            </w:pPr>
            <w:r/>
            <w:r>
              <w:rPr>
                <w:rFonts w:ascii="Arial" w:hAnsi="Arial"/>
                <w:b w:val="0"/>
                <w:sz w:val="16"/>
              </w:rPr>
              <w:t>Paper</w:t>
            </w:r>
          </w:p>
        </w:tc>
        <w:tc>
          <w:tcPr>
            <w:tcW w:type="dxa" w:w="4680"/>
            <w:vAlign w:val="center"/>
          </w:tcPr>
          <w:p>
            <w:pPr>
              <w:spacing w:after="0"/>
            </w:pPr>
            <w:r/>
            <w:r>
              <w:rPr>
                <w:rFonts w:ascii="Arial" w:hAnsi="Arial"/>
                <w:b w:val="0"/>
                <w:sz w:val="16"/>
              </w:rPr>
              <w:t>https://arxiv.org/abs/2507.03251</w:t>
            </w:r>
          </w:p>
        </w:tc>
      </w:tr>
      <w:tr>
        <w:tc>
          <w:tcPr>
            <w:tcW w:type="dxa" w:w="4680"/>
            <w:vAlign w:val="center"/>
          </w:tcPr>
          <w:p>
            <w:pPr>
              <w:spacing w:after="0"/>
            </w:pPr>
            <w:r/>
            <w:r>
              <w:rPr>
                <w:rFonts w:ascii="Arial" w:hAnsi="Arial"/>
                <w:b w:val="0"/>
                <w:sz w:val="16"/>
              </w:rPr>
              <w:t>PDF</w:t>
            </w:r>
          </w:p>
        </w:tc>
        <w:tc>
          <w:tcPr>
            <w:tcW w:type="dxa" w:w="4680"/>
            <w:vAlign w:val="center"/>
          </w:tcPr>
          <w:p>
            <w:pPr>
              <w:spacing w:after="0"/>
            </w:pPr>
            <w:r/>
            <w:r>
              <w:rPr>
                <w:rFonts w:ascii="Arial" w:hAnsi="Arial"/>
                <w:b w:val="0"/>
                <w:sz w:val="16"/>
              </w:rPr>
              <w:t>https://arxiv.org/pdf/2507.03251</w:t>
            </w:r>
          </w:p>
        </w:tc>
      </w:tr>
      <w:tr>
        <w:tc>
          <w:tcPr>
            <w:tcW w:type="dxa" w:w="4680"/>
            <w:vAlign w:val="center"/>
          </w:tcPr>
          <w:p>
            <w:pPr>
              <w:spacing w:after="0"/>
            </w:pPr>
            <w:r/>
            <w:r>
              <w:rPr>
                <w:rFonts w:ascii="Arial" w:hAnsi="Arial"/>
                <w:b w:val="0"/>
                <w:sz w:val="16"/>
              </w:rPr>
              <w:t>Code</w:t>
            </w:r>
          </w:p>
        </w:tc>
        <w:tc>
          <w:tcPr>
            <w:tcW w:type="dxa" w:w="4680"/>
            <w:vAlign w:val="center"/>
          </w:tcPr>
          <w:p>
            <w:pPr>
              <w:spacing w:after="0"/>
            </w:pPr>
            <w:r/>
            <w:r>
              <w:rPr>
                <w:rFonts w:ascii="Arial" w:hAnsi="Arial"/>
                <w:b w:val="0"/>
                <w:sz w:val="16"/>
              </w:rPr>
              <w:t>https://github.com/spilabkorea/ser</w:t>
            </w:r>
          </w:p>
        </w:tc>
      </w:tr>
      <w:tr>
        <w:tc>
          <w:tcPr>
            <w:tcW w:type="dxa" w:w="4680"/>
            <w:vAlign w:val="center"/>
          </w:tcPr>
          <w:p>
            <w:pPr>
              <w:spacing w:after="0"/>
            </w:pPr>
            <w:r/>
            <w:r>
              <w:rPr>
                <w:rFonts w:ascii="Arial" w:hAnsi="Arial"/>
                <w:b w:val="0"/>
                <w:sz w:val="16"/>
              </w:rPr>
              <w:t>Original architecture image</w:t>
            </w:r>
          </w:p>
        </w:tc>
        <w:tc>
          <w:tcPr>
            <w:tcW w:type="dxa" w:w="4680"/>
            <w:vAlign w:val="center"/>
          </w:tcPr>
          <w:p>
            <w:pPr>
              <w:spacing w:after="0"/>
            </w:pPr>
            <w:r/>
            <w:r>
              <w:rPr>
                <w:rFonts w:ascii="Arial" w:hAnsi="Arial"/>
                <w:b w:val="0"/>
                <w:sz w:val="16"/>
              </w:rPr>
              <w:t>Paper PDF: Fig. 4 framework with MFCC feature extraction, data augmentation and 1D-CNN with channel/spatial attention. GitHub repository also has a figure folder and README images.</w:t>
            </w:r>
          </w:p>
        </w:tc>
      </w:tr>
      <w:tr>
        <w:tc>
          <w:tcPr>
            <w:tcW w:type="dxa" w:w="4680"/>
            <w:vAlign w:val="center"/>
          </w:tcPr>
          <w:p>
            <w:pPr>
              <w:spacing w:after="0"/>
            </w:pPr>
            <w:r/>
            <w:r>
              <w:rPr>
                <w:rFonts w:ascii="Arial" w:hAnsi="Arial"/>
                <w:b w:val="0"/>
                <w:sz w:val="16"/>
              </w:rPr>
              <w:t>Datasets</w:t>
            </w:r>
          </w:p>
        </w:tc>
        <w:tc>
          <w:tcPr>
            <w:tcW w:type="dxa" w:w="4680"/>
            <w:vAlign w:val="center"/>
          </w:tcPr>
          <w:p>
            <w:pPr>
              <w:spacing w:after="0"/>
            </w:pPr>
            <w:r/>
            <w:r>
              <w:rPr>
                <w:rFonts w:ascii="Arial" w:hAnsi="Arial"/>
                <w:b w:val="0"/>
                <w:sz w:val="16"/>
              </w:rPr>
              <w:t>SAVEE, RAVDESS, CREMA-D, TESS, EMO-DB, EMOVO</w:t>
            </w:r>
          </w:p>
        </w:tc>
      </w:tr>
      <w:tr>
        <w:tc>
          <w:tcPr>
            <w:tcW w:type="dxa" w:w="4680"/>
            <w:vAlign w:val="center"/>
          </w:tcPr>
          <w:p>
            <w:pPr>
              <w:spacing w:after="0"/>
            </w:pPr>
            <w:r/>
            <w:r>
              <w:rPr>
                <w:rFonts w:ascii="Arial" w:hAnsi="Arial"/>
                <w:b w:val="0"/>
                <w:sz w:val="16"/>
              </w:rPr>
              <w:t>Dataset combination</w:t>
            </w:r>
          </w:p>
        </w:tc>
        <w:tc>
          <w:tcPr>
            <w:tcW w:type="dxa" w:w="4680"/>
            <w:vAlign w:val="center"/>
          </w:tcPr>
          <w:p>
            <w:pPr>
              <w:spacing w:after="0"/>
            </w:pPr>
            <w:r/>
            <w:r>
              <w:rPr>
                <w:rFonts w:ascii="Arial" w:hAnsi="Arial"/>
                <w:b w:val="0"/>
                <w:sz w:val="16"/>
              </w:rPr>
              <w:t>Reports benchmark performance on each dataset separately; not presented as our four-dataset combined strict split.</w:t>
            </w:r>
          </w:p>
        </w:tc>
      </w:tr>
      <w:tr>
        <w:tc>
          <w:tcPr>
            <w:tcW w:type="dxa" w:w="4680"/>
            <w:vAlign w:val="center"/>
          </w:tcPr>
          <w:p>
            <w:pPr>
              <w:spacing w:after="0"/>
            </w:pPr>
            <w:r/>
            <w:r>
              <w:rPr>
                <w:rFonts w:ascii="Arial" w:hAnsi="Arial"/>
                <w:b w:val="0"/>
                <w:sz w:val="16"/>
              </w:rPr>
              <w:t>Train/validation/test split</w:t>
            </w:r>
          </w:p>
        </w:tc>
        <w:tc>
          <w:tcPr>
            <w:tcW w:type="dxa" w:w="4680"/>
            <w:vAlign w:val="center"/>
          </w:tcPr>
          <w:p>
            <w:pPr>
              <w:spacing w:after="0"/>
            </w:pPr>
            <w:r/>
            <w:r>
              <w:rPr>
                <w:rFonts w:ascii="Arial" w:hAnsi="Arial"/>
                <w:b w:val="0"/>
                <w:sz w:val="16"/>
              </w:rPr>
              <w:t>Paper/repo emphasize per-dataset benchmark evaluation; exact speaker-aware split is not clearly stated in abstract/README, so treat as paper-style rather than strict speaker-disjoint unless code proves otherwise.</w:t>
            </w:r>
          </w:p>
        </w:tc>
      </w:tr>
      <w:tr>
        <w:tc>
          <w:tcPr>
            <w:tcW w:type="dxa" w:w="4680"/>
            <w:vAlign w:val="center"/>
          </w:tcPr>
          <w:p>
            <w:pPr>
              <w:spacing w:after="0"/>
            </w:pPr>
            <w:r/>
            <w:r>
              <w:rPr>
                <w:rFonts w:ascii="Arial" w:hAnsi="Arial"/>
                <w:b w:val="0"/>
                <w:sz w:val="16"/>
              </w:rPr>
              <w:t>Preprocessing</w:t>
            </w:r>
          </w:p>
        </w:tc>
        <w:tc>
          <w:tcPr>
            <w:tcW w:type="dxa" w:w="4680"/>
            <w:vAlign w:val="center"/>
          </w:tcPr>
          <w:p>
            <w:pPr>
              <w:spacing w:after="0"/>
            </w:pPr>
            <w:r/>
            <w:r>
              <w:rPr>
                <w:rFonts w:ascii="Arial" w:hAnsi="Arial"/>
                <w:b w:val="0"/>
                <w:sz w:val="16"/>
              </w:rPr>
              <w:t>MFCC extraction after standard audio preparation; repository lists dataset handling scripts/notebooks.</w:t>
            </w:r>
          </w:p>
        </w:tc>
      </w:tr>
      <w:tr>
        <w:tc>
          <w:tcPr>
            <w:tcW w:type="dxa" w:w="4680"/>
            <w:vAlign w:val="center"/>
          </w:tcPr>
          <w:p>
            <w:pPr>
              <w:spacing w:after="0"/>
            </w:pPr>
            <w:r/>
            <w:r>
              <w:rPr>
                <w:rFonts w:ascii="Arial" w:hAnsi="Arial"/>
                <w:b w:val="0"/>
                <w:sz w:val="16"/>
              </w:rPr>
              <w:t>Features</w:t>
            </w:r>
          </w:p>
        </w:tc>
        <w:tc>
          <w:tcPr>
            <w:tcW w:type="dxa" w:w="4680"/>
            <w:vAlign w:val="center"/>
          </w:tcPr>
          <w:p>
            <w:pPr>
              <w:spacing w:after="0"/>
            </w:pPr>
            <w:r/>
            <w:r>
              <w:rPr>
                <w:rFonts w:ascii="Arial" w:hAnsi="Arial"/>
                <w:b w:val="0"/>
                <w:sz w:val="16"/>
              </w:rPr>
              <w:t>MFCC features are the core representation.</w:t>
            </w:r>
          </w:p>
        </w:tc>
      </w:tr>
      <w:tr>
        <w:tc>
          <w:tcPr>
            <w:tcW w:type="dxa" w:w="4680"/>
            <w:vAlign w:val="center"/>
          </w:tcPr>
          <w:p>
            <w:pPr>
              <w:spacing w:after="0"/>
            </w:pPr>
            <w:r/>
            <w:r>
              <w:rPr>
                <w:rFonts w:ascii="Arial" w:hAnsi="Arial"/>
                <w:b w:val="0"/>
                <w:sz w:val="16"/>
              </w:rPr>
              <w:t>Augmentation</w:t>
            </w:r>
          </w:p>
        </w:tc>
        <w:tc>
          <w:tcPr>
            <w:tcW w:type="dxa" w:w="4680"/>
            <w:vAlign w:val="center"/>
          </w:tcPr>
          <w:p>
            <w:pPr>
              <w:spacing w:after="0"/>
            </w:pPr>
            <w:r/>
            <w:r>
              <w:rPr>
                <w:rFonts w:ascii="Arial" w:hAnsi="Arial"/>
                <w:b w:val="0"/>
                <w:sz w:val="16"/>
              </w:rPr>
              <w:t>Gaussian noise and pitch shifting; paper notes noise proportional to max amplitude and pitch shift using librosa.</w:t>
            </w:r>
          </w:p>
        </w:tc>
      </w:tr>
      <w:tr>
        <w:tc>
          <w:tcPr>
            <w:tcW w:type="dxa" w:w="4680"/>
            <w:vAlign w:val="center"/>
          </w:tcPr>
          <w:p>
            <w:pPr>
              <w:spacing w:after="0"/>
            </w:pPr>
            <w:r/>
            <w:r>
              <w:rPr>
                <w:rFonts w:ascii="Arial" w:hAnsi="Arial"/>
                <w:b w:val="0"/>
                <w:sz w:val="16"/>
              </w:rPr>
              <w:t>Architecture</w:t>
            </w:r>
          </w:p>
        </w:tc>
        <w:tc>
          <w:tcPr>
            <w:tcW w:type="dxa" w:w="4680"/>
            <w:vAlign w:val="center"/>
          </w:tcPr>
          <w:p>
            <w:pPr>
              <w:spacing w:after="0"/>
            </w:pPr>
            <w:r/>
            <w:r>
              <w:rPr>
                <w:rFonts w:ascii="Arial" w:hAnsi="Arial"/>
                <w:b w:val="0"/>
                <w:sz w:val="16"/>
              </w:rPr>
              <w:t>1D-CNN processes MFCC features, enhanced by channel attention and spatial attention so the network can emphasize emotionally informative feature channels and time regions.</w:t>
            </w:r>
          </w:p>
        </w:tc>
      </w:tr>
      <w:tr>
        <w:tc>
          <w:tcPr>
            <w:tcW w:type="dxa" w:w="4680"/>
            <w:vAlign w:val="center"/>
          </w:tcPr>
          <w:p>
            <w:pPr>
              <w:spacing w:after="0"/>
            </w:pPr>
            <w:r/>
            <w:r>
              <w:rPr>
                <w:rFonts w:ascii="Arial" w:hAnsi="Arial"/>
                <w:b w:val="0"/>
                <w:sz w:val="16"/>
              </w:rPr>
              <w:t>Reported accuracy</w:t>
            </w:r>
          </w:p>
        </w:tc>
        <w:tc>
          <w:tcPr>
            <w:tcW w:type="dxa" w:w="4680"/>
            <w:vAlign w:val="center"/>
          </w:tcPr>
          <w:p>
            <w:pPr>
              <w:spacing w:after="0"/>
            </w:pPr>
            <w:r/>
            <w:r>
              <w:rPr>
                <w:rFonts w:ascii="Arial" w:hAnsi="Arial"/>
                <w:b w:val="0"/>
                <w:sz w:val="16"/>
              </w:rPr>
              <w:t>SAVEE 97.49%; RAVDESS 99.23%; CREMA-D 89.31%; TESS 99.82%; EMO-DB 99.53%; EMOVO 96.39%.</w:t>
            </w:r>
          </w:p>
        </w:tc>
      </w:tr>
      <w:tr>
        <w:tc>
          <w:tcPr>
            <w:tcW w:type="dxa" w:w="4680"/>
            <w:vAlign w:val="center"/>
          </w:tcPr>
          <w:p>
            <w:pPr>
              <w:spacing w:after="0"/>
            </w:pPr>
            <w:r/>
            <w:r>
              <w:rPr>
                <w:rFonts w:ascii="Arial" w:hAnsi="Arial"/>
                <w:b w:val="0"/>
                <w:sz w:val="16"/>
              </w:rPr>
              <w:t>Why high performance</w:t>
            </w:r>
          </w:p>
        </w:tc>
        <w:tc>
          <w:tcPr>
            <w:tcW w:type="dxa" w:w="4680"/>
            <w:vAlign w:val="center"/>
          </w:tcPr>
          <w:p>
            <w:pPr>
              <w:spacing w:after="0"/>
            </w:pPr>
            <w:r/>
            <w:r>
              <w:rPr>
                <w:rFonts w:ascii="Arial" w:hAnsi="Arial"/>
                <w:b w:val="0"/>
                <w:sz w:val="16"/>
              </w:rPr>
              <w:t>Attention explicitly reweights important MFCC channels/time regions and augmentation improves robustness; per-dataset evaluation is easier than combined strict.</w:t>
            </w:r>
          </w:p>
        </w:tc>
      </w:tr>
      <w:tr>
        <w:tc>
          <w:tcPr>
            <w:tcW w:type="dxa" w:w="4680"/>
            <w:vAlign w:val="center"/>
          </w:tcPr>
          <w:p>
            <w:pPr>
              <w:spacing w:after="0"/>
            </w:pPr>
            <w:r/>
            <w:r>
              <w:rPr>
                <w:rFonts w:ascii="Arial" w:hAnsi="Arial"/>
                <w:b w:val="0"/>
                <w:sz w:val="16"/>
              </w:rPr>
              <w:t>Limit for our comparison</w:t>
            </w:r>
          </w:p>
        </w:tc>
        <w:tc>
          <w:tcPr>
            <w:tcW w:type="dxa" w:w="4680"/>
            <w:vAlign w:val="center"/>
          </w:tcPr>
          <w:p>
            <w:pPr>
              <w:spacing w:after="0"/>
            </w:pPr>
            <w:r/>
            <w:r>
              <w:rPr>
                <w:rFonts w:ascii="Arial" w:hAnsi="Arial"/>
                <w:b w:val="0"/>
                <w:sz w:val="16"/>
              </w:rPr>
              <w:t>Very high per-dataset accuracy should not be compared directly with our combined_strict result unless split rules match.</w:t>
            </w:r>
          </w:p>
        </w:tc>
      </w:tr>
      <w:tr>
        <w:tc>
          <w:tcPr>
            <w:tcW w:type="dxa" w:w="4680"/>
            <w:vAlign w:val="center"/>
          </w:tcPr>
          <w:p>
            <w:pPr>
              <w:spacing w:after="0"/>
            </w:pPr>
            <w:r/>
            <w:r>
              <w:rPr>
                <w:rFonts w:ascii="Arial" w:hAnsi="Arial"/>
                <w:b w:val="0"/>
                <w:sz w:val="16"/>
              </w:rPr>
              <w:t>What to adapt for our 05</w:t>
            </w:r>
          </w:p>
        </w:tc>
        <w:tc>
          <w:tcPr>
            <w:tcW w:type="dxa" w:w="4680"/>
            <w:vAlign w:val="center"/>
          </w:tcPr>
          <w:p>
            <w:pPr>
              <w:spacing w:after="0"/>
            </w:pPr>
            <w:r/>
            <w:r>
              <w:rPr>
                <w:rFonts w:ascii="Arial" w:hAnsi="Arial"/>
                <w:b w:val="0"/>
                <w:sz w:val="16"/>
              </w:rPr>
              <w:t>Use channel attention/SE blocks and attention pooling in MFCC branch; compare against logmel_2d branch to see whether 2D view helps.</w:t>
            </w:r>
          </w:p>
        </w:tc>
      </w:tr>
    </w:tbl>
    <w:p/>
    <w:p>
      <w:pPr>
        <w:pStyle w:val="Heading1"/>
      </w:pPr>
      <w:r>
        <w:t>Chowdhury et al. - DCRF-BiLSTM Feature Engineering</w:t>
      </w:r>
    </w:p>
    <w:p>
      <w:pPr>
        <w:jc w:val="center"/>
      </w:pPr>
      <w:r>
        <w:drawing>
          <wp:inline xmlns:a="http://schemas.openxmlformats.org/drawingml/2006/main" xmlns:pic="http://schemas.openxmlformats.org/drawingml/2006/picture">
            <wp:extent cx="5943600" cy="3417570"/>
            <wp:docPr id="3" name="Picture 3"/>
            <wp:cNvGraphicFramePr>
              <a:graphicFrameLocks noChangeAspect="1"/>
            </wp:cNvGraphicFramePr>
            <a:graphic>
              <a:graphicData uri="http://schemas.openxmlformats.org/drawingml/2006/picture">
                <pic:pic>
                  <pic:nvPicPr>
                    <pic:cNvPr id="0" name="dcrf_bilstm_architecture_redraw.png"/>
                    <pic:cNvPicPr/>
                  </pic:nvPicPr>
                  <pic:blipFill>
                    <a:blip r:embed="rId11"/>
                    <a:stretch>
                      <a:fillRect/>
                    </a:stretch>
                  </pic:blipFill>
                  <pic:spPr>
                    <a:xfrm>
                      <a:off x="0" y="0"/>
                      <a:ext cx="5943600" cy="3417570"/>
                    </a:xfrm>
                    <a:prstGeom prst="rect"/>
                  </pic:spPr>
                </pic:pic>
              </a:graphicData>
            </a:graphic>
          </wp:inline>
        </w:drawing>
      </w:r>
    </w:p>
    <w:p>
      <w:pPr>
        <w:jc w:val="center"/>
      </w:pPr>
      <w:r>
        <w:rPr>
          <w:rFonts w:ascii="Arial" w:hAnsi="Arial"/>
          <w:i/>
          <w:color w:val="555555"/>
          <w:sz w:val="18"/>
        </w:rPr>
        <w:t>Redrawn architecture schematic for Chowdhury et al. - DCRF-BiLSTM Feature Engineering.</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after="0"/>
            </w:pPr>
            <w:r/>
            <w:r>
              <w:rPr>
                <w:rFonts w:ascii="Arial" w:hAnsi="Arial"/>
                <w:b/>
                <w:sz w:val="16"/>
              </w:rPr>
              <w:t>Item</w:t>
            </w:r>
          </w:p>
        </w:tc>
        <w:tc>
          <w:tcPr>
            <w:tcW w:type="dxa" w:w="4680"/>
            <w:vAlign w:val="center"/>
          </w:tcPr>
          <w:p>
            <w:pPr>
              <w:spacing w:after="0"/>
            </w:pPr>
            <w:r/>
            <w:r>
              <w:rPr>
                <w:rFonts w:ascii="Arial" w:hAnsi="Arial"/>
                <w:b/>
                <w:sz w:val="16"/>
              </w:rPr>
              <w:t>Details</w:t>
            </w:r>
          </w:p>
        </w:tc>
      </w:tr>
      <w:tr>
        <w:tc>
          <w:tcPr>
            <w:tcW w:type="dxa" w:w="4680"/>
            <w:vAlign w:val="center"/>
          </w:tcPr>
          <w:p>
            <w:pPr>
              <w:spacing w:after="0"/>
            </w:pPr>
            <w:r/>
            <w:r>
              <w:rPr>
                <w:rFonts w:ascii="Arial" w:hAnsi="Arial"/>
                <w:b w:val="0"/>
                <w:sz w:val="16"/>
              </w:rPr>
              <w:t>Paper</w:t>
            </w:r>
          </w:p>
        </w:tc>
        <w:tc>
          <w:tcPr>
            <w:tcW w:type="dxa" w:w="4680"/>
            <w:vAlign w:val="center"/>
          </w:tcPr>
          <w:p>
            <w:pPr>
              <w:spacing w:after="0"/>
            </w:pPr>
            <w:r/>
            <w:r>
              <w:rPr>
                <w:rFonts w:ascii="Arial" w:hAnsi="Arial"/>
                <w:b w:val="0"/>
                <w:sz w:val="16"/>
              </w:rPr>
              <w:t>https://arxiv.org/abs/2507.07046</w:t>
            </w:r>
          </w:p>
        </w:tc>
      </w:tr>
      <w:tr>
        <w:tc>
          <w:tcPr>
            <w:tcW w:type="dxa" w:w="4680"/>
            <w:vAlign w:val="center"/>
          </w:tcPr>
          <w:p>
            <w:pPr>
              <w:spacing w:after="0"/>
            </w:pPr>
            <w:r/>
            <w:r>
              <w:rPr>
                <w:rFonts w:ascii="Arial" w:hAnsi="Arial"/>
                <w:b w:val="0"/>
                <w:sz w:val="16"/>
              </w:rPr>
              <w:t>PDF</w:t>
            </w:r>
          </w:p>
        </w:tc>
        <w:tc>
          <w:tcPr>
            <w:tcW w:type="dxa" w:w="4680"/>
            <w:vAlign w:val="center"/>
          </w:tcPr>
          <w:p>
            <w:pPr>
              <w:spacing w:after="0"/>
            </w:pPr>
            <w:r/>
            <w:r>
              <w:rPr>
                <w:rFonts w:ascii="Arial" w:hAnsi="Arial"/>
                <w:b w:val="0"/>
                <w:sz w:val="16"/>
              </w:rPr>
              <w:t>https://arxiv.org/pdf/2507.07046</w:t>
            </w:r>
          </w:p>
        </w:tc>
      </w:tr>
      <w:tr>
        <w:tc>
          <w:tcPr>
            <w:tcW w:type="dxa" w:w="4680"/>
            <w:vAlign w:val="center"/>
          </w:tcPr>
          <w:p>
            <w:pPr>
              <w:spacing w:after="0"/>
            </w:pPr>
            <w:r/>
            <w:r>
              <w:rPr>
                <w:rFonts w:ascii="Arial" w:hAnsi="Arial"/>
                <w:b w:val="0"/>
                <w:sz w:val="16"/>
              </w:rPr>
              <w:t>Code</w:t>
            </w:r>
          </w:p>
        </w:tc>
        <w:tc>
          <w:tcPr>
            <w:tcW w:type="dxa" w:w="4680"/>
            <w:vAlign w:val="center"/>
          </w:tcPr>
          <w:p>
            <w:pPr>
              <w:spacing w:after="0"/>
            </w:pPr>
            <w:r/>
            <w:r>
              <w:rPr>
                <w:rFonts w:ascii="Arial" w:hAnsi="Arial"/>
                <w:b w:val="0"/>
                <w:sz w:val="16"/>
              </w:rPr>
              <w:t>No official code link found in paper page/search.</w:t>
            </w:r>
          </w:p>
        </w:tc>
      </w:tr>
      <w:tr>
        <w:tc>
          <w:tcPr>
            <w:tcW w:type="dxa" w:w="4680"/>
            <w:vAlign w:val="center"/>
          </w:tcPr>
          <w:p>
            <w:pPr>
              <w:spacing w:after="0"/>
            </w:pPr>
            <w:r/>
            <w:r>
              <w:rPr>
                <w:rFonts w:ascii="Arial" w:hAnsi="Arial"/>
                <w:b w:val="0"/>
                <w:sz w:val="16"/>
              </w:rPr>
              <w:t>Original architecture image</w:t>
            </w:r>
          </w:p>
        </w:tc>
        <w:tc>
          <w:tcPr>
            <w:tcW w:type="dxa" w:w="4680"/>
            <w:vAlign w:val="center"/>
          </w:tcPr>
          <w:p>
            <w:pPr>
              <w:spacing w:after="0"/>
            </w:pPr>
            <w:r/>
            <w:r>
              <w:rPr>
                <w:rFonts w:ascii="Arial" w:hAnsi="Arial"/>
                <w:b w:val="0"/>
                <w:sz w:val="16"/>
              </w:rPr>
              <w:t>Paper PDF: Figure 1 system overview of DCRF-BiLSTM framework; Figures 2-4 show spectrogram/waveform preprocessing and augmentation visualizations.</w:t>
            </w:r>
          </w:p>
        </w:tc>
      </w:tr>
      <w:tr>
        <w:tc>
          <w:tcPr>
            <w:tcW w:type="dxa" w:w="4680"/>
            <w:vAlign w:val="center"/>
          </w:tcPr>
          <w:p>
            <w:pPr>
              <w:spacing w:after="0"/>
            </w:pPr>
            <w:r/>
            <w:r>
              <w:rPr>
                <w:rFonts w:ascii="Arial" w:hAnsi="Arial"/>
                <w:b w:val="0"/>
                <w:sz w:val="16"/>
              </w:rPr>
              <w:t>Datasets</w:t>
            </w:r>
          </w:p>
        </w:tc>
        <w:tc>
          <w:tcPr>
            <w:tcW w:type="dxa" w:w="4680"/>
            <w:vAlign w:val="center"/>
          </w:tcPr>
          <w:p>
            <w:pPr>
              <w:spacing w:after="0"/>
            </w:pPr>
            <w:r/>
            <w:r>
              <w:rPr>
                <w:rFonts w:ascii="Arial" w:hAnsi="Arial"/>
                <w:b w:val="0"/>
                <w:sz w:val="16"/>
              </w:rPr>
              <w:t>RAVDESS, TESS, SAVEE, EmoDB, CREMA-D</w:t>
            </w:r>
          </w:p>
        </w:tc>
      </w:tr>
      <w:tr>
        <w:tc>
          <w:tcPr>
            <w:tcW w:type="dxa" w:w="4680"/>
            <w:vAlign w:val="center"/>
          </w:tcPr>
          <w:p>
            <w:pPr>
              <w:spacing w:after="0"/>
            </w:pPr>
            <w:r/>
            <w:r>
              <w:rPr>
                <w:rFonts w:ascii="Arial" w:hAnsi="Arial"/>
                <w:b w:val="0"/>
                <w:sz w:val="16"/>
              </w:rPr>
              <w:t>Dataset combination</w:t>
            </w:r>
          </w:p>
        </w:tc>
        <w:tc>
          <w:tcPr>
            <w:tcW w:type="dxa" w:w="4680"/>
            <w:vAlign w:val="center"/>
          </w:tcPr>
          <w:p>
            <w:pPr>
              <w:spacing w:after="0"/>
            </w:pPr>
            <w:r/>
            <w:r>
              <w:rPr>
                <w:rFonts w:ascii="Arial" w:hAnsi="Arial"/>
                <w:b w:val="0"/>
                <w:sz w:val="16"/>
              </w:rPr>
              <w:t>Reports individual datasets and combined sets, including R+T+S and R+T+S+E+C.</w:t>
            </w:r>
          </w:p>
        </w:tc>
      </w:tr>
      <w:tr>
        <w:tc>
          <w:tcPr>
            <w:tcW w:type="dxa" w:w="4680"/>
            <w:vAlign w:val="center"/>
          </w:tcPr>
          <w:p>
            <w:pPr>
              <w:spacing w:after="0"/>
            </w:pPr>
            <w:r/>
            <w:r>
              <w:rPr>
                <w:rFonts w:ascii="Arial" w:hAnsi="Arial"/>
                <w:b w:val="0"/>
                <w:sz w:val="16"/>
              </w:rPr>
              <w:t>Train/validation/test split</w:t>
            </w:r>
          </w:p>
        </w:tc>
        <w:tc>
          <w:tcPr>
            <w:tcW w:type="dxa" w:w="4680"/>
            <w:vAlign w:val="center"/>
          </w:tcPr>
          <w:p>
            <w:pPr>
              <w:spacing w:after="0"/>
            </w:pPr>
            <w:r/>
            <w:r>
              <w:rPr>
                <w:rFonts w:ascii="Arial" w:hAnsi="Arial"/>
                <w:b w:val="0"/>
                <w:sz w:val="16"/>
              </w:rPr>
              <w:t>Paper describes dataset preparation and combined datasets but the exact speaker-aware train/validation/test protocol is not clearly stated in the visible methodology text; treat as non-strict until clarified.</w:t>
            </w:r>
          </w:p>
        </w:tc>
      </w:tr>
      <w:tr>
        <w:tc>
          <w:tcPr>
            <w:tcW w:type="dxa" w:w="4680"/>
            <w:vAlign w:val="center"/>
          </w:tcPr>
          <w:p>
            <w:pPr>
              <w:spacing w:after="0"/>
            </w:pPr>
            <w:r/>
            <w:r>
              <w:rPr>
                <w:rFonts w:ascii="Arial" w:hAnsi="Arial"/>
                <w:b w:val="0"/>
                <w:sz w:val="16"/>
              </w:rPr>
              <w:t>Preprocessing</w:t>
            </w:r>
          </w:p>
        </w:tc>
        <w:tc>
          <w:tcPr>
            <w:tcW w:type="dxa" w:w="4680"/>
            <w:vAlign w:val="center"/>
          </w:tcPr>
          <w:p>
            <w:pPr>
              <w:spacing w:after="0"/>
            </w:pPr>
            <w:r/>
            <w:r>
              <w:rPr>
                <w:rFonts w:ascii="Arial" w:hAnsi="Arial"/>
                <w:b w:val="0"/>
                <w:sz w:val="16"/>
              </w:rPr>
              <w:t>Silence removal, resampling to 22050 Hz, then augmentation.</w:t>
            </w:r>
          </w:p>
        </w:tc>
      </w:tr>
      <w:tr>
        <w:tc>
          <w:tcPr>
            <w:tcW w:type="dxa" w:w="4680"/>
            <w:vAlign w:val="center"/>
          </w:tcPr>
          <w:p>
            <w:pPr>
              <w:spacing w:after="0"/>
            </w:pPr>
            <w:r/>
            <w:r>
              <w:rPr>
                <w:rFonts w:ascii="Arial" w:hAnsi="Arial"/>
                <w:b w:val="0"/>
                <w:sz w:val="16"/>
              </w:rPr>
              <w:t>Features</w:t>
            </w:r>
          </w:p>
        </w:tc>
        <w:tc>
          <w:tcPr>
            <w:tcW w:type="dxa" w:w="4680"/>
            <w:vAlign w:val="center"/>
          </w:tcPr>
          <w:p>
            <w:pPr>
              <w:spacing w:after="0"/>
            </w:pPr>
            <w:r/>
            <w:r>
              <w:rPr>
                <w:rFonts w:ascii="Arial" w:hAnsi="Arial"/>
                <w:b w:val="0"/>
                <w:sz w:val="16"/>
              </w:rPr>
              <w:t>190 selected features: MFCC, delta MFCC, delta-delta/statistical MFCC, Chroma, Spectral Contrast, RMSE, ZCR and Log-Mel spectrogram related features.</w:t>
            </w:r>
          </w:p>
        </w:tc>
      </w:tr>
      <w:tr>
        <w:tc>
          <w:tcPr>
            <w:tcW w:type="dxa" w:w="4680"/>
            <w:vAlign w:val="center"/>
          </w:tcPr>
          <w:p>
            <w:pPr>
              <w:spacing w:after="0"/>
            </w:pPr>
            <w:r/>
            <w:r>
              <w:rPr>
                <w:rFonts w:ascii="Arial" w:hAnsi="Arial"/>
                <w:b w:val="0"/>
                <w:sz w:val="16"/>
              </w:rPr>
              <w:t>Augmentation</w:t>
            </w:r>
          </w:p>
        </w:tc>
        <w:tc>
          <w:tcPr>
            <w:tcW w:type="dxa" w:w="4680"/>
            <w:vAlign w:val="center"/>
          </w:tcPr>
          <w:p>
            <w:pPr>
              <w:spacing w:after="0"/>
            </w:pPr>
            <w:r/>
            <w:r>
              <w:rPr>
                <w:rFonts w:ascii="Arial" w:hAnsi="Arial"/>
                <w:b w:val="0"/>
                <w:sz w:val="16"/>
              </w:rPr>
              <w:t>Gaussian noise at multiple rates, pitch shift, and time stretch.</w:t>
            </w:r>
          </w:p>
        </w:tc>
      </w:tr>
      <w:tr>
        <w:tc>
          <w:tcPr>
            <w:tcW w:type="dxa" w:w="4680"/>
            <w:vAlign w:val="center"/>
          </w:tcPr>
          <w:p>
            <w:pPr>
              <w:spacing w:after="0"/>
            </w:pPr>
            <w:r/>
            <w:r>
              <w:rPr>
                <w:rFonts w:ascii="Arial" w:hAnsi="Arial"/>
                <w:b w:val="0"/>
                <w:sz w:val="16"/>
              </w:rPr>
              <w:t>Architecture</w:t>
            </w:r>
          </w:p>
        </w:tc>
        <w:tc>
          <w:tcPr>
            <w:tcW w:type="dxa" w:w="4680"/>
            <w:vAlign w:val="center"/>
          </w:tcPr>
          <w:p>
            <w:pPr>
              <w:spacing w:after="0"/>
            </w:pPr>
            <w:r/>
            <w:r>
              <w:rPr>
                <w:rFonts w:ascii="Arial" w:hAnsi="Arial"/>
                <w:b w:val="0"/>
                <w:sz w:val="16"/>
              </w:rPr>
              <w:t>Deep Conditional Random Fields plus BiLSTM. BiLSTM learns temporal dependencies in both forward/backward directions, while DeepCRF adds structured prediction over sequence representations.</w:t>
            </w:r>
          </w:p>
        </w:tc>
      </w:tr>
      <w:tr>
        <w:tc>
          <w:tcPr>
            <w:tcW w:type="dxa" w:w="4680"/>
            <w:vAlign w:val="center"/>
          </w:tcPr>
          <w:p>
            <w:pPr>
              <w:spacing w:after="0"/>
            </w:pPr>
            <w:r/>
            <w:r>
              <w:rPr>
                <w:rFonts w:ascii="Arial" w:hAnsi="Arial"/>
                <w:b w:val="0"/>
                <w:sz w:val="16"/>
              </w:rPr>
              <w:t>Reported accuracy</w:t>
            </w:r>
          </w:p>
        </w:tc>
        <w:tc>
          <w:tcPr>
            <w:tcW w:type="dxa" w:w="4680"/>
            <w:vAlign w:val="center"/>
          </w:tcPr>
          <w:p>
            <w:pPr>
              <w:spacing w:after="0"/>
            </w:pPr>
            <w:r/>
            <w:r>
              <w:rPr>
                <w:rFonts w:ascii="Arial" w:hAnsi="Arial"/>
                <w:b w:val="0"/>
                <w:sz w:val="16"/>
              </w:rPr>
              <w:t>RAVDESS 97.83%; SAVEE 97.02%; CREMA-D 95.10%; TESS 100%; EMO-DB 100%; R+T+S 98.82%; R+T+S+E+C 93.76%.</w:t>
            </w:r>
          </w:p>
        </w:tc>
      </w:tr>
      <w:tr>
        <w:tc>
          <w:tcPr>
            <w:tcW w:type="dxa" w:w="4680"/>
            <w:vAlign w:val="center"/>
          </w:tcPr>
          <w:p>
            <w:pPr>
              <w:spacing w:after="0"/>
            </w:pPr>
            <w:r/>
            <w:r>
              <w:rPr>
                <w:rFonts w:ascii="Arial" w:hAnsi="Arial"/>
                <w:b w:val="0"/>
                <w:sz w:val="16"/>
              </w:rPr>
              <w:t>Why high performance</w:t>
            </w:r>
          </w:p>
        </w:tc>
        <w:tc>
          <w:tcPr>
            <w:tcW w:type="dxa" w:w="4680"/>
            <w:vAlign w:val="center"/>
          </w:tcPr>
          <w:p>
            <w:pPr>
              <w:spacing w:after="0"/>
            </w:pPr>
            <w:r/>
            <w:r>
              <w:rPr>
                <w:rFonts w:ascii="Arial" w:hAnsi="Arial"/>
                <w:b w:val="0"/>
                <w:sz w:val="16"/>
              </w:rPr>
              <w:t>Large feature set, preprocessing/silence removal, augmentation, temporal BiLSTM and structured prediction; combined data includes more varied training examples.</w:t>
            </w:r>
          </w:p>
        </w:tc>
      </w:tr>
      <w:tr>
        <w:tc>
          <w:tcPr>
            <w:tcW w:type="dxa" w:w="4680"/>
            <w:vAlign w:val="center"/>
          </w:tcPr>
          <w:p>
            <w:pPr>
              <w:spacing w:after="0"/>
            </w:pPr>
            <w:r/>
            <w:r>
              <w:rPr>
                <w:rFonts w:ascii="Arial" w:hAnsi="Arial"/>
                <w:b w:val="0"/>
                <w:sz w:val="16"/>
              </w:rPr>
              <w:t>Limit for our comparison</w:t>
            </w:r>
          </w:p>
        </w:tc>
        <w:tc>
          <w:tcPr>
            <w:tcW w:type="dxa" w:w="4680"/>
            <w:vAlign w:val="center"/>
          </w:tcPr>
          <w:p>
            <w:pPr>
              <w:spacing w:after="0"/>
            </w:pPr>
            <w:r/>
            <w:r>
              <w:rPr>
                <w:rFonts w:ascii="Arial" w:hAnsi="Arial"/>
                <w:b w:val="0"/>
                <w:sz w:val="16"/>
              </w:rPr>
              <w:t>Uses seven labels and five datasets; split protocol is not clearly speaker-aware, so compare as literature target, not strict baseline.</w:t>
            </w:r>
          </w:p>
        </w:tc>
      </w:tr>
      <w:tr>
        <w:tc>
          <w:tcPr>
            <w:tcW w:type="dxa" w:w="4680"/>
            <w:vAlign w:val="center"/>
          </w:tcPr>
          <w:p>
            <w:pPr>
              <w:spacing w:after="0"/>
            </w:pPr>
            <w:r/>
            <w:r>
              <w:rPr>
                <w:rFonts w:ascii="Arial" w:hAnsi="Arial"/>
                <w:b w:val="0"/>
                <w:sz w:val="16"/>
              </w:rPr>
              <w:t>What to adapt for our 05</w:t>
            </w:r>
          </w:p>
        </w:tc>
        <w:tc>
          <w:tcPr>
            <w:tcW w:type="dxa" w:w="4680"/>
            <w:vAlign w:val="center"/>
          </w:tcPr>
          <w:p>
            <w:pPr>
              <w:spacing w:after="0"/>
            </w:pPr>
            <w:r/>
            <w:r>
              <w:rPr>
                <w:rFonts w:ascii="Arial" w:hAnsi="Arial"/>
                <w:b w:val="0"/>
                <w:sz w:val="16"/>
              </w:rPr>
              <w:t>Use more feature diversity and temporal modeling; future branch could add BiGRU/BiLSTM over fused embeddings or sequence-level CRF-like smoothing for emotion timeline.</w:t>
            </w:r>
          </w:p>
        </w:tc>
      </w:tr>
    </w:tbl>
    <w:p/>
    <w:p>
      <w:pPr>
        <w:pStyle w:val="Heading1"/>
      </w:pPr>
      <w:r>
        <w:t>How to use this document in the report</w:t>
      </w:r>
    </w:p>
    <w:p>
      <w:r>
        <w:t>Use Ahmed et al. as the main justification for CNN-GRU/LSTM and ensemble; use Lee &amp; Nadeem as the justification for attention in the MFCC branch; use DCRF-BiLSTM as justification for richer feature engineering and temporal modeling. When comparing accuracy, always mention that many reference results are single-dataset or not clearly speaker-aware, while our combined strict protocol is harder.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