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2033"/>
          <w:sz w:val="48"/>
        </w:rPr>
        <w:t>Multi-Representation SER Architecture Report</w:t>
      </w:r>
    </w:p>
    <w:p>
      <w:pPr>
        <w:spacing w:after="240"/>
      </w:pPr>
      <w:r>
        <w:rPr>
          <w:color w:val="536173"/>
          <w:sz w:val="24"/>
        </w:rPr>
        <w:t>Updated with detailed feature explanation and comparison against Ahmed, Chowdhury, and Lee &amp; Nadeem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9994"/>
      </w:tblGrid>
      <w:tr>
        <w:tc>
          <w:tcPr>
            <w:tcW w:type="dxa" w:w="9994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2033"/>
                <w:sz w:val="22"/>
              </w:rPr>
              <w:t>Main conclusion</w:t>
              <w:br/>
            </w:r>
            <w:r>
              <w:rPr>
                <w:color w:val="536173"/>
                <w:sz w:val="19"/>
              </w:rPr>
              <w:t>Our current model improves over the strongest previous dual-view model on combined_random and combined_strict_no_tess, but it is still far below the &gt;90% reference papers because those papers use much stronger augmentation, tuned deep/recurrent ensembles, richer feature engineering, and random/single-dataset protocols that are not clearly strict speaker-aware.</w:t>
            </w:r>
          </w:p>
        </w:tc>
      </w:tr>
    </w:tbl>
    <w:p>
      <w:pPr>
        <w:pStyle w:val="Heading1"/>
      </w:pPr>
      <w:r>
        <w:t>1. Our proposed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r_multi_rep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Our model: unified feature engineering -&gt; temporal branch, pretrained spectrogram branch, statistical branch -&gt; validation-weighted ensemble.</w:t>
      </w:r>
    </w:p>
    <w:p>
      <w:pPr>
        <w:spacing w:after="120"/>
      </w:pPr>
      <w:r>
        <w:rPr>
          <w:sz w:val="21"/>
        </w:rPr>
        <w:t>Input: normalized 16 kHz mono speech audio. Output: probability distribution over six common emotions: neutral, happy, sad, angry, fear and disgust.</w:t>
      </w:r>
    </w:p>
    <w:p>
      <w:pPr>
        <w:spacing w:after="120"/>
      </w:pPr>
      <w:r>
        <w:rPr>
          <w:sz w:val="21"/>
        </w:rPr>
        <w:t>The model extracts three complementary representations from the same audio: a temporal sequence, a spectrogram/pretrained embedding representation, and a global statistical vector. Each representation is handled by a model family that matches its shape.</w:t>
      </w:r>
    </w:p>
    <w:p>
      <w:pPr>
        <w:pStyle w:val="Heading1"/>
      </w:pPr>
      <w:r>
        <w:t>2. Feature sets used in our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656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Feature group</w:t>
            </w:r>
          </w:p>
        </w:tc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Used by branch</w:t>
            </w:r>
          </w:p>
        </w:tc>
        <w:tc>
          <w:tcPr>
            <w:tcW w:type="dxa" w:w="302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Meaning</w:t>
            </w:r>
          </w:p>
        </w:tc>
        <w:tc>
          <w:tcPr>
            <w:tcW w:type="dxa" w:w="302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Why it matters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MFCC + delta + delta-delta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Temporal branch and stats branch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Timbre/spectral envelope and its first/second temporal derivatives.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Emotion changes are often expressed through changing tone, articulation and vocal color.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RMS / energy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Temporal branch and stats branch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Frame-level or clip-level loudness/intensity.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Angry/happy often have stronger energy; sad/neutral often lower energy.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ZCR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Temporal branch and stats branch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Rate of waveform sign crossing.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Indicates voiced/unvoiced texture and harshness.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Spectral centroid/bandwidth/rolloff/contrast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Temporal branch and stats branch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Brightness, spread, high-frequency concentration and peak-valley contrast.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Captures spectral texture linked to tense, sharp or soft speech.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Chroma STFT/CQT/CENS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Stats branch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Harmonic/pitch-class structure.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Adds pitch/harmonic information not fully captured by MFCC.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Log-Mel spectrogram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Spectrogram branch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2D time-frequency energy map.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Matches CNN/pretrained spectrogram encoders and captures local spectral patterns.</w:t>
            </w:r>
          </w:p>
        </w:tc>
      </w:tr>
    </w:tbl>
    <w:p>
      <w:pPr>
        <w:pStyle w:val="Heading1"/>
      </w:pPr>
      <w:r>
        <w:t>3. Branch-by-branch processing steps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72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Branch</w:t>
            </w:r>
          </w:p>
        </w:tc>
        <w:tc>
          <w:tcPr>
            <w:tcW w:type="dxa" w:w="187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Input shape/concept</w:t>
            </w:r>
          </w:p>
        </w:tc>
        <w:tc>
          <w:tcPr>
            <w:tcW w:type="dxa" w:w="288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Processing blocks</w:t>
            </w:r>
          </w:p>
        </w:tc>
        <w:tc>
          <w:tcPr>
            <w:tcW w:type="dxa" w:w="144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Output</w:t>
            </w:r>
          </w:p>
        </w:tc>
        <w:tc>
          <w:tcPr>
            <w:tcW w:type="dxa" w:w="280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Function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Temporal acoustic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[B, 132, T] frame sequence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1D-CNN -&gt; BiGRU -&gt; attention pooling -&gt; dense classifier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p_temporal [B, 6]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Learns local and long-term temporal emotion cues.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Spectrogram/pretrained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Waveform or log-Mel representation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Audio pretrained spectrogram encoder; fallback 2D-CNN + SE attention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p_spectrogram [B, 6]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Learns time-frequency acoustic patterns and uses pretrained audio knowledge when available.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Statistical acoustic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[B, D] engineered vector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StandardScaler -&gt; RBF-SVM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p_statistical [B, 6]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Uses global clip-level acoustic summary similar to classical feature engineering.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Final ensemble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Three probability vectors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Validation macro-F1 weighted average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p_final [B, 6]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Trusts stronger validation branches more while keeping complementary signals.</w:t>
            </w:r>
          </w:p>
        </w:tc>
      </w:tr>
    </w:tbl>
    <w:p>
      <w:pPr>
        <w:pStyle w:val="Heading1"/>
      </w:pPr>
      <w:r>
        <w:t>4. Our results versus strongest dual-view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94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Protocol</w:t>
            </w:r>
          </w:p>
        </w:tc>
        <w:tc>
          <w:tcPr>
            <w:tcW w:type="dxa" w:w="122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Our acc</w:t>
            </w:r>
          </w:p>
        </w:tc>
        <w:tc>
          <w:tcPr>
            <w:tcW w:type="dxa" w:w="13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Our macro-F1</w:t>
            </w:r>
          </w:p>
        </w:tc>
        <w:tc>
          <w:tcPr>
            <w:tcW w:type="dxa" w:w="172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Best dual-view</w:t>
            </w:r>
          </w:p>
        </w:tc>
        <w:tc>
          <w:tcPr>
            <w:tcW w:type="dxa" w:w="122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Dual acc</w:t>
            </w:r>
          </w:p>
        </w:tc>
        <w:tc>
          <w:tcPr>
            <w:tcW w:type="dxa" w:w="13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Dual macro-F1</w:t>
            </w:r>
          </w:p>
        </w:tc>
        <w:tc>
          <w:tcPr>
            <w:tcW w:type="dxa" w:w="13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Delta macro-F1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combined_random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73.32%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73.50%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dual_bigru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72.03%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72.08%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+1.42 pts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combined_strict_no_tess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59.86%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59.68%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dual_bigru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55.50%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55.29%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+4.38 pts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single_CREMA-D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66.07%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65.83%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dual_bigru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60.43%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60.55%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+5.28 pts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single_RAVDESS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75.47%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75.19%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dual_attention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76.10%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75.63%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-0.43 pts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single_SAVEE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76.19%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71.51%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dual_attention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76.19%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75.59%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-4.08 pts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single_TESS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100.00%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100.00%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dual_attention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100.00%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100.00%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+0.00 pts</w:t>
            </w:r>
          </w:p>
        </w:tc>
      </w:tr>
    </w:tbl>
    <w:p>
      <w:pPr>
        <w:pStyle w:val="Heading1"/>
      </w:pPr>
      <w:r>
        <w:t>5. Our results versus reference papers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58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4"/>
              </w:rPr>
              <w:t>Dataset/protocol</w:t>
            </w:r>
          </w:p>
        </w:tc>
        <w:tc>
          <w:tcPr>
            <w:tcW w:type="dxa" w:w="21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4"/>
              </w:rPr>
              <w:t>Our current best comparable result</w:t>
            </w:r>
          </w:p>
        </w:tc>
        <w:tc>
          <w:tcPr>
            <w:tcW w:type="dxa" w:w="122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4"/>
              </w:rPr>
              <w:t>Ahmed et al.</w:t>
            </w:r>
          </w:p>
        </w:tc>
        <w:tc>
          <w:tcPr>
            <w:tcW w:type="dxa" w:w="13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4"/>
              </w:rPr>
              <w:t>Chowdhury et al.</w:t>
            </w:r>
          </w:p>
        </w:tc>
        <w:tc>
          <w:tcPr>
            <w:tcW w:type="dxa" w:w="13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4"/>
              </w:rPr>
              <w:t>Lee &amp; Nadeem</w:t>
            </w:r>
          </w:p>
        </w:tc>
        <w:tc>
          <w:tcPr>
            <w:tcW w:type="dxa" w:w="288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4"/>
              </w:rPr>
              <w:t>Interpretation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combined_random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73.32 acc / 73.50 macro-F1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Our combined_random is improved over dual-view but not paper-level because references mostly report single-dataset/random augmented settings.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combined_strict_no_tess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59.86 acc / 59.68 macro-F1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This is harder and closer to generalization. References do not clearly provide the same strict speaker-aware protocol.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CREMA-D single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66.07 acc / 65.83 macro-F1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90.47 acc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95.10 acc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89.31 acc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Large gap. References use stronger augmentation and heavier/tuned architectures.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RAVDESS single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75.47 acc / 75.19 macro-F1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95.62 acc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97.83 acc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99.23 acc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Large gap. Need stronger augmentation and CNN-LSTM/GRU/BiLSTM-style modeling.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SAVEE single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76.19 acc / 71.51 macro-F1; temporal branch alone reaches 80.55 macro-F1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93.22 acc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97.02 acc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97.49 acc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Our ensemble hurts SAVEE compared with temporal branch; adaptive ensemble/best-branch selection is needed.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TESS single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100.00 acc / 100.00 macro-F1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99.46 acc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100.00 acc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99.82 acc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TESS is easy in both our work and references. It should not dominate conclusions.</w:t>
            </w:r>
          </w:p>
        </w:tc>
      </w:tr>
    </w:tbl>
    <w:p>
      <w:pPr>
        <w:pStyle w:val="Heading1"/>
      </w:pPr>
      <w:r>
        <w:t>6. Why the reference papers are much higher</w:t>
      </w:r>
    </w:p>
    <w:p>
      <w:pPr>
        <w:pStyle w:val="ListBullet"/>
      </w:pPr>
      <w:r>
        <w:rPr>
          <w:sz w:val="20"/>
        </w:rPr>
        <w:t>They use stronger augmentation. Ahmed reports that augmentation raises accuracy by 3% to 32%, especially on SAVEE and CREMA-D. Lee &amp; Nadeem show RAVDESS jumping from 46.52% to 99.23% after MFCC plus augmentation. Chowdhury also uses noise, pitch and time-stretch augmentation.</w:t>
      </w:r>
    </w:p>
    <w:p>
      <w:pPr>
        <w:pStyle w:val="ListBullet"/>
      </w:pPr>
      <w:r>
        <w:rPr>
          <w:sz w:val="20"/>
        </w:rPr>
        <w:t>Their protocols are not clearly strict speaker-aware. The papers report 80-20 split, cross-validation or single-dataset benchmarks, but do not clearly state speaker-aware or original-audio group split after augmentation. This makes direct comparison with strict protocols unsafe.</w:t>
      </w:r>
    </w:p>
    <w:p>
      <w:pPr>
        <w:pStyle w:val="ListBullet"/>
      </w:pPr>
      <w:r>
        <w:rPr>
          <w:sz w:val="20"/>
        </w:rPr>
        <w:t>They use heavier or better-tuned architectures. Ahmed trains three models and ensembles them; Chowdhury uses stacked BiLSTM and DeepCRF with about 16M trainable parameters; Lee &amp; Nadeem adds attention to 1D-CNN.</w:t>
      </w:r>
    </w:p>
    <w:p>
      <w:pPr>
        <w:pStyle w:val="ListBullet"/>
      </w:pPr>
      <w:r>
        <w:rPr>
          <w:sz w:val="20"/>
        </w:rPr>
        <w:t>They use feature engineering more aggressively. Chowdhury explicitly uses 190 engineered features, while our statistical branch is still a relatively simple RBF-SVM branch and not yet a deep sequence model over engineered features.</w:t>
      </w:r>
    </w:p>
    <w:p>
      <w:pPr>
        <w:pStyle w:val="ListBullet"/>
      </w:pPr>
      <w:r>
        <w:rPr>
          <w:sz w:val="20"/>
        </w:rPr>
        <w:t>They often report accuracy, sometimes weighted average accuracy, while we emphasize macro-F1. Macro-F1 is stricter when class imbalance exists.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9994"/>
      </w:tblGrid>
      <w:tr>
        <w:tc>
          <w:tcPr>
            <w:tcW w:type="dxa" w:w="9994"/>
            <w:shd w:fill="E8F1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2033"/>
                <w:sz w:val="22"/>
              </w:rPr>
              <w:t>Fair reporting recommendation</w:t>
              <w:br/>
            </w:r>
            <w:r>
              <w:rPr>
                <w:color w:val="536173"/>
                <w:sz w:val="19"/>
              </w:rPr>
              <w:t>In the report, compare our model to references in two layers: paper-comparable random/augmented results for benchmarking, and strict no-leakage results for academic honesty. Do not claim the &gt;90% papers are directly comparable unless their split and augmentation pipeline are matched.</w:t>
            </w:r>
          </w:p>
        </w:tc>
      </w:tr>
    </w:tbl>
    <w:p>
      <w:pPr>
        <w:pStyle w:val="Heading1"/>
      </w:pPr>
      <w:r>
        <w:t>7. Next implementation direction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94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Next experiment</w:t>
            </w:r>
          </w:p>
        </w:tc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Inspired by</w:t>
            </w:r>
          </w:p>
        </w:tc>
        <w:tc>
          <w:tcPr>
            <w:tcW w:type="dxa" w:w="259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Expected benefit</w:t>
            </w:r>
          </w:p>
        </w:tc>
        <w:tc>
          <w:tcPr>
            <w:tcW w:type="dxa" w:w="295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Important rule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Train-only augmentation: noise, pitch, time stretch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Ahmed, Chowdhury, Lee &amp; Nadeem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Reduce overfit and improve small datasets like SAVEE/RAVDESS.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Split first, augment train only.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CNN-LSTM/CNN-GRU ensemble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Ahmed et al.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Combine local CNN features with long-term recurrent context.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Use validation weights and compare each component.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190 engineered features + PCA optional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Chowdhury et al.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Strengthen statistical/engineered branch.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Report feature dimensions and avoid data leakage in scaler/PCA.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BiLSTM or DeepCRF-like structured head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Chowdhury et al.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Model sequential dependencies more explicitly.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Keep a simpler fallback if TensorFlow Addons/CRF is unavailable.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Channel/spatial attention over MFCC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Lee &amp; Nadeem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Let model reweight informative feature channels and time regions.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5"/>
              </w:rPr>
              <w:t>Add ablation without attention.</w:t>
            </w:r>
          </w:p>
        </w:tc>
      </w:tr>
    </w:tbl>
    <w:p>
      <w:pPr>
        <w:pStyle w:val="Heading1"/>
      </w:pPr>
      <w:r>
        <w:t>8. Sources</w:t>
      </w:r>
    </w:p>
    <w:p>
      <w:pPr>
        <w:spacing w:after="120"/>
      </w:pPr>
      <w:r>
        <w:rPr>
          <w:sz w:val="21"/>
        </w:rPr>
        <w:t>Ahmed et al. 2021: An Ensemble 1D-CNN-LSTM-GRU Model with Data Augmentation for Speech Emotion Recognition. https://arxiv.org/abs/2112.05666</w:t>
      </w:r>
    </w:p>
    <w:p>
      <w:pPr>
        <w:spacing w:after="120"/>
      </w:pPr>
      <w:r>
        <w:rPr>
          <w:sz w:val="21"/>
        </w:rPr>
        <w:t>Chowdhury et al. 2025: A Novel Hybrid Deep Learning Technique for Speech Emotion Detection using Feature Engineering. https://arxiv.org/abs/2507.07046</w:t>
      </w:r>
    </w:p>
    <w:p>
      <w:pPr>
        <w:spacing w:after="120"/>
      </w:pPr>
      <w:r>
        <w:rPr>
          <w:sz w:val="21"/>
        </w:rPr>
        <w:t>Lee &amp; Nadeem 2025: Toward Efficient Speech Emotion Recognition via Spectral Learning and Attention. https://arxiv.org/abs/2507.03251</w:t>
      </w:r>
    </w:p>
    <w:sectPr w:rsidR="00FC693F" w:rsidRPr="0006063C" w:rsidSect="00034616">
      <w:footerReference w:type="default" r:id="rId9"/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Our Multi-Representation SER | Architecture + References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