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4e2257487cbe4768"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249"/>
        <w:gridCol w:w="5777"/>
      </w:tblGrid>
      <w:tr w:rsidRPr="00A13C91" w:rsidR="00733091" w:rsidTr="00733091">
        <w:trPr>
          <w:trHeight w:val="920"/>
        </w:trPr>
        <w:tc>
          <w:tcPr>
            <w:tcW w:w="1800" w:type="pct"/>
            <w:shd w:val="clear" w:color="auto" w:fill="auto"/>
            <w:tcMar>
              <w:top w:w="0" w:type="dxa"/>
              <w:left w:w="108" w:type="dxa"/>
              <w:bottom w:w="0" w:type="dxa"/>
              <w:right w:w="108" w:type="dxa"/>
            </w:tcMar>
          </w:tcPr>
          <w:p w:rsidRPr="00A13C91" w:rsidR="00733091" w:rsidP="00733091" w:rsidRDefault="00733091" w14:paraId="00100000" w14:textId="00100001">
            <w:pPr>
              <w:jc w:val="center"/>
              <w:rPr>
                <w:rFonts w:ascii="Arial" w:hAnsi="Arial" w:cs="Arial"/>
                <w:color w:val="000000"/>
                <w:sz w:val="20"/>
                <w:szCs w:val="20"/>
              </w:rPr>
            </w:pPr>
            <w:r w:rsidRPr="00A13C91">
              <w:rPr>
                <w:rFonts w:ascii="Arial" w:hAnsi="Arial" w:cs="Arial"/>
                <w:b/>
                <w:bCs/>
                <w:color w:val="000000"/>
                <w:sz w:val="20"/>
                <w:szCs w:val="20"/>
              </w:rPr>
              <w:t>CHÍNH PHỦ</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rsidRPr="00A13C91" w:rsidR="00733091" w:rsidP="00733091" w:rsidRDefault="00733091" w14:paraId="00100002" w14:textId="00100003">
            <w:pPr>
              <w:jc w:val="center"/>
              <w:rPr>
                <w:rFonts w:ascii="Arial" w:hAnsi="Arial" w:cs="Arial"/>
                <w:color w:val="000000"/>
                <w:sz w:val="20"/>
                <w:szCs w:val="20"/>
              </w:rPr>
            </w:pPr>
            <w:r w:rsidRPr="00A13C91">
              <w:rPr>
                <w:rFonts w:ascii="Arial" w:hAnsi="Arial" w:cs="Arial"/>
                <w:color w:val="000000"/>
                <w:sz w:val="20"/>
                <w:szCs w:val="20"/>
              </w:rPr>
              <w:t xml:space="preserve">Số: </w:t>
            </w:r>
            <w:r w:rsidRPr="00733091">
              <w:rPr>
                <w:rFonts w:ascii="Arial" w:hAnsi="Arial" w:eastAsia="Times New Roman" w:cs="Arial"/>
                <w:color w:val="000000" w:themeColor="text1"/>
                <w:sz w:val="20"/>
                <w:szCs w:val="20"/>
              </w:rPr>
              <w:t>175/2024/NĐ-CP</w:t>
            </w:r>
          </w:p>
        </w:tc>
        <w:tc>
          <w:tcPr>
            <w:tcW w:w="3200" w:type="pct"/>
            <w:shd w:val="clear" w:color="auto" w:fill="auto"/>
            <w:tcMar>
              <w:top w:w="0" w:type="dxa"/>
              <w:left w:w="108" w:type="dxa"/>
              <w:bottom w:w="0" w:type="dxa"/>
              <w:right w:w="108" w:type="dxa"/>
            </w:tcMar>
          </w:tcPr>
          <w:p w:rsidRPr="00A13C91" w:rsidR="00733091" w:rsidP="00733091" w:rsidRDefault="00733091" w14:paraId="00100004" w14:textId="00100005">
            <w:pPr>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rsidRPr="00733091" w:rsidR="00733091" w:rsidP="00733091" w:rsidRDefault="00733091" w14:paraId="00100006" w14:textId="00100007">
            <w:pPr>
              <w:shd w:val="clear" w:color="auto" w:fill="FFFFFF"/>
              <w:jc w:val="center"/>
              <w:rPr>
                <w:rFonts w:ascii="Arial" w:hAnsi="Arial" w:eastAsia="Times New Roman" w:cs="Arial"/>
                <w:color w:val="000000" w:themeColor="text1"/>
                <w:sz w:val="20"/>
                <w:szCs w:val="20"/>
              </w:rPr>
            </w:pPr>
            <w:r w:rsidRPr="00733091">
              <w:rPr>
                <w:rFonts w:ascii="Arial" w:hAnsi="Arial" w:eastAsia="Times New Roman" w:cs="Arial"/>
                <w:i/>
                <w:iCs/>
                <w:color w:val="000000" w:themeColor="text1"/>
                <w:sz w:val="20"/>
                <w:szCs w:val="20"/>
              </w:rPr>
              <w:t>Hà Nội, ngày 30 tháng 12 năm 2024</w:t>
            </w:r>
          </w:p>
        </w:tc>
      </w:tr>
    </w:tbl>
    <w:p w:rsidR="00733091" w:rsidP="00733091" w:rsidRDefault="00733091" w14:paraId="00100008" w14:textId="00100009">
      <w:pPr>
        <w:jc w:val="center"/>
        <w:rPr>
          <w:rFonts w:ascii="Arial" w:hAnsi="Arial" w:eastAsia="Times New Roman" w:cs="Arial"/>
          <w:b/>
          <w:bCs/>
          <w:color w:val="000000" w:themeColor="text1"/>
          <w:sz w:val="20"/>
          <w:szCs w:val="20"/>
        </w:rPr>
      </w:pPr>
    </w:p>
    <w:p w:rsidR="00733091" w:rsidP="00733091" w:rsidRDefault="00733091" w14:paraId="0010000A" w14:textId="0010000B">
      <w:pPr>
        <w:jc w:val="center"/>
        <w:rPr>
          <w:rFonts w:ascii="Arial" w:hAnsi="Arial" w:eastAsia="Times New Roman" w:cs="Arial"/>
          <w:b/>
          <w:bCs/>
          <w:color w:val="000000" w:themeColor="text1"/>
          <w:sz w:val="20"/>
          <w:szCs w:val="20"/>
        </w:rPr>
      </w:pPr>
    </w:p>
    <w:p w:rsidRPr="00733091" w:rsidR="001C2BDF" w:rsidP="00733091" w:rsidRDefault="001C2BDF" w14:paraId="0010000C" w14:textId="0010000D">
      <w:pPr>
        <w:jc w:val="center"/>
        <w:rPr>
          <w:rFonts w:ascii="Arial" w:hAnsi="Arial" w:eastAsia="Times New Roman" w:cs="Arial"/>
          <w:b/>
          <w:bCs/>
          <w:color w:val="000000" w:themeColor="text1"/>
          <w:sz w:val="20"/>
          <w:szCs w:val="20"/>
        </w:rPr>
      </w:pPr>
      <w:r w:rsidRPr="00733091">
        <w:rPr>
          <w:rFonts w:ascii="Arial" w:hAnsi="Arial" w:eastAsia="Times New Roman" w:cs="Arial"/>
          <w:b/>
          <w:bCs/>
          <w:color w:val="000000" w:themeColor="text1"/>
          <w:sz w:val="20"/>
          <w:szCs w:val="20"/>
        </w:rPr>
        <w:t>NGHỊ ĐỊNH</w:t>
      </w:r>
    </w:p>
    <w:p w:rsidRPr="00733091" w:rsidR="001C2BDF" w:rsidP="00733091" w:rsidRDefault="001C2BDF" w14:paraId="0010000E" w14:textId="0010000F">
      <w:pPr>
        <w:jc w:val="center"/>
        <w:rPr>
          <w:rFonts w:ascii="Arial" w:hAnsi="Arial" w:eastAsia="Times New Roman" w:cs="Arial"/>
          <w:bCs/>
          <w:color w:val="000000" w:themeColor="text1"/>
          <w:sz w:val="20"/>
          <w:szCs w:val="20"/>
          <w:vertAlign w:val="superscript"/>
        </w:rPr>
      </w:pPr>
      <w:r w:rsidRPr="00733091">
        <w:rPr>
          <w:rFonts w:ascii="Arial" w:hAnsi="Arial" w:eastAsia="Times New Roman" w:cs="Arial"/>
          <w:b/>
          <w:bCs/>
          <w:color w:val="000000" w:themeColor="text1"/>
          <w:sz w:val="20"/>
          <w:szCs w:val="20"/>
        </w:rPr>
        <w:t>Quy định chi tiết một số điều và biện pháp thi hành Luật Xây dựng</w:t>
      </w:r>
      <w:r w:rsidRPr="00733091">
        <w:rPr>
          <w:rFonts w:ascii="Arial" w:hAnsi="Arial" w:eastAsia="Times New Roman" w:cs="Arial"/>
          <w:b/>
          <w:bCs/>
          <w:color w:val="000000" w:themeColor="text1"/>
          <w:sz w:val="20"/>
          <w:szCs w:val="20"/>
        </w:rPr>
        <w:br/>
        <w:t>về quản lý hoạt động xây dựng</w:t>
      </w:r>
      <w:r w:rsidRPr="00733091">
        <w:rPr>
          <w:rFonts w:ascii="Arial" w:hAnsi="Arial" w:eastAsia="Times New Roman" w:cs="Arial"/>
          <w:b/>
          <w:bCs/>
          <w:color w:val="000000" w:themeColor="text1"/>
          <w:sz w:val="20"/>
          <w:szCs w:val="20"/>
        </w:rPr>
        <w:br/>
      </w:r>
      <w:r w:rsidRPr="00733091" w:rsidR="00733091">
        <w:rPr>
          <w:rFonts w:ascii="Arial" w:hAnsi="Arial" w:eastAsia="Times New Roman" w:cs="Arial"/>
          <w:bCs/>
          <w:color w:val="000000" w:themeColor="text1"/>
          <w:sz w:val="20"/>
          <w:szCs w:val="20"/>
          <w:vertAlign w:val="superscript"/>
        </w:rPr>
        <w:t>_________________</w:t>
      </w:r>
    </w:p>
    <w:p w:rsidR="00733091" w:rsidP="00733091" w:rsidRDefault="00733091" w14:paraId="00100010" w14:textId="00100011">
      <w:pPr>
        <w:shd w:val="clear" w:color="auto" w:fill="FFFFFF"/>
        <w:jc w:val="center"/>
        <w:rPr>
          <w:rFonts w:ascii="Arial" w:hAnsi="Arial" w:eastAsia="Times New Roman" w:cs="Arial"/>
          <w:i/>
          <w:iCs/>
          <w:color w:val="000000" w:themeColor="text1"/>
          <w:sz w:val="20"/>
          <w:szCs w:val="20"/>
        </w:rPr>
      </w:pPr>
    </w:p>
    <w:p w:rsidRPr="00733091" w:rsidR="001C2BDF" w:rsidP="00733091" w:rsidRDefault="001C2BDF" w14:paraId="00100012" w14:textId="00100013">
      <w:pPr>
        <w:shd w:val="clear" w:color="auto" w:fill="FFFFFF"/>
        <w:spacing w:after="120"/>
        <w:ind w:firstLine="720"/>
        <w:jc w:val="both"/>
        <w:rPr>
          <w:rFonts w:ascii="Arial" w:hAnsi="Arial" w:eastAsia="Times New Roman" w:cs="Arial"/>
          <w:color w:val="000000" w:themeColor="text1"/>
          <w:sz w:val="20"/>
          <w:szCs w:val="20"/>
        </w:rPr>
      </w:pPr>
      <w:r w:rsidRPr="00733091">
        <w:rPr>
          <w:rFonts w:ascii="Arial" w:hAnsi="Arial" w:eastAsia="Times New Roman" w:cs="Arial"/>
          <w:i/>
          <w:iCs/>
          <w:color w:val="000000" w:themeColor="text1"/>
          <w:sz w:val="20"/>
          <w:szCs w:val="20"/>
        </w:rPr>
        <w:t>Căn cứ Luật Tổ chức Chính phủ ngày 19 tháng 6 năm 2015; Luật sửa đổi, bổ sung một số điều của Luật Tổ chức Chính phủ và Luật Tổ chức chính quyền địa phương ngày 22 tháng 11 năm 2019;</w:t>
      </w:r>
    </w:p>
    <w:p w:rsidRPr="00733091" w:rsidR="001C2BDF" w:rsidP="00733091" w:rsidRDefault="001C2BDF" w14:paraId="00100014" w14:textId="00100015">
      <w:pPr>
        <w:shd w:val="clear" w:color="auto" w:fill="FFFFFF"/>
        <w:spacing w:after="120"/>
        <w:ind w:firstLine="720"/>
        <w:jc w:val="both"/>
        <w:rPr>
          <w:rFonts w:ascii="Arial" w:hAnsi="Arial" w:eastAsia="Times New Roman" w:cs="Arial"/>
          <w:color w:val="000000" w:themeColor="text1"/>
          <w:sz w:val="20"/>
          <w:szCs w:val="20"/>
        </w:rPr>
      </w:pPr>
      <w:r w:rsidRPr="00733091">
        <w:rPr>
          <w:rFonts w:ascii="Arial" w:hAnsi="Arial" w:eastAsia="Times New Roman" w:cs="Arial"/>
          <w:i/>
          <w:iCs/>
          <w:color w:val="000000" w:themeColor="text1"/>
          <w:sz w:val="20"/>
          <w:szCs w:val="20"/>
        </w:rPr>
        <w:t>Căn cứ Luật Xây dựng ngày 18 tháng 6 năm 2014; Luật sửa đổi, bổ sung một số điều của Luật Xây dựng ngày 17 tháng 6 năm 2020;</w:t>
      </w:r>
    </w:p>
    <w:p w:rsidRPr="00733091" w:rsidR="001C2BDF" w:rsidP="00733091" w:rsidRDefault="001C2BDF" w14:paraId="00100016" w14:textId="00100017">
      <w:pPr>
        <w:shd w:val="clear" w:color="auto" w:fill="FFFFFF"/>
        <w:spacing w:after="120"/>
        <w:ind w:firstLine="720"/>
        <w:jc w:val="both"/>
        <w:rPr>
          <w:rFonts w:ascii="Arial" w:hAnsi="Arial" w:eastAsia="Times New Roman" w:cs="Arial"/>
          <w:color w:val="000000" w:themeColor="text1"/>
          <w:sz w:val="20"/>
          <w:szCs w:val="20"/>
        </w:rPr>
      </w:pPr>
      <w:r w:rsidRPr="00733091">
        <w:rPr>
          <w:rFonts w:ascii="Arial" w:hAnsi="Arial" w:eastAsia="Times New Roman" w:cs="Arial"/>
          <w:i/>
          <w:iCs/>
          <w:color w:val="000000" w:themeColor="text1"/>
          <w:sz w:val="20"/>
          <w:szCs w:val="20"/>
        </w:rPr>
        <w:t>Căn cứ Luật Quy hoạch đô thị ngày 17 tháng 6 năm 2009;</w:t>
      </w:r>
    </w:p>
    <w:p w:rsidRPr="00733091" w:rsidR="001C2BDF" w:rsidP="00733091" w:rsidRDefault="001C2BDF" w14:paraId="00100018" w14:textId="00100019">
      <w:pPr>
        <w:shd w:val="clear" w:color="auto" w:fill="FFFFFF"/>
        <w:spacing w:after="120"/>
        <w:ind w:firstLine="720"/>
        <w:jc w:val="both"/>
        <w:rPr>
          <w:rFonts w:ascii="Arial" w:hAnsi="Arial" w:eastAsia="Times New Roman" w:cs="Arial"/>
          <w:color w:val="000000" w:themeColor="text1"/>
          <w:sz w:val="20"/>
          <w:szCs w:val="20"/>
        </w:rPr>
      </w:pPr>
      <w:r w:rsidRPr="00733091">
        <w:rPr>
          <w:rFonts w:ascii="Arial" w:hAnsi="Arial" w:eastAsia="Times New Roman" w:cs="Arial"/>
          <w:i/>
          <w:iCs/>
          <w:color w:val="000000" w:themeColor="text1"/>
          <w:sz w:val="20"/>
          <w:szCs w:val="20"/>
        </w:rPr>
        <w:t>Theo đề nghị của Bộ trưởng Bộ Xây dựng;</w:t>
      </w:r>
    </w:p>
    <w:p w:rsidR="001C2BDF" w:rsidP="00733091" w:rsidRDefault="001C2BDF" w14:paraId="0010001A" w14:textId="0010001B">
      <w:pPr>
        <w:shd w:val="clear" w:color="auto" w:fill="FFFFFF"/>
        <w:ind w:firstLine="720"/>
        <w:jc w:val="both"/>
        <w:rPr>
          <w:rFonts w:ascii="Arial" w:hAnsi="Arial" w:eastAsia="Times New Roman" w:cs="Arial"/>
          <w:i/>
          <w:iCs/>
          <w:color w:val="000000" w:themeColor="text1"/>
          <w:sz w:val="20"/>
          <w:szCs w:val="20"/>
        </w:rPr>
      </w:pPr>
      <w:r w:rsidRPr="00733091">
        <w:rPr>
          <w:rFonts w:ascii="Arial" w:hAnsi="Arial" w:eastAsia="Times New Roman" w:cs="Arial"/>
          <w:i/>
          <w:iCs/>
          <w:color w:val="000000" w:themeColor="text1"/>
          <w:sz w:val="20"/>
          <w:szCs w:val="20"/>
        </w:rPr>
        <w:t>Chính phủ ban hành Nghị định quy định chi tiết một số điều và biện pháp thi hành Luật Xây dựng về quản lý hoạt động xây dựng.</w:t>
      </w:r>
    </w:p>
    <w:p w:rsidRPr="00733091" w:rsidR="00733091" w:rsidP="00733091" w:rsidRDefault="00733091" w14:paraId="0010001C" w14:textId="0010001D">
      <w:pPr>
        <w:shd w:val="clear" w:color="auto" w:fill="FFFFFF"/>
        <w:ind w:firstLine="720"/>
        <w:jc w:val="both"/>
        <w:rPr>
          <w:rFonts w:ascii="Arial" w:hAnsi="Arial" w:eastAsia="Times New Roman" w:cs="Arial"/>
          <w:color w:val="000000" w:themeColor="text1"/>
          <w:sz w:val="20"/>
          <w:szCs w:val="20"/>
        </w:rPr>
      </w:pPr>
    </w:p>
    <w:p w:rsidR="005D0434" w:rsidP="005D0434" w:rsidRDefault="005D0434" w14:paraId="0010258E" w14:textId="0010258F">
      <w:pPr>
        <w:shd w:val="clear" w:color="auto" w:fill="FFFFFF"/>
        <w:spacing w:after="120"/>
        <w:ind w:left="720"/>
        <w:jc w:val="both"/>
        <w:rPr>
          <w:rFonts w:ascii="Arial" w:hAnsi="Arial" w:eastAsia="Times New Roman" w:cs="Arial"/>
          <w:sz w:val="20"/>
          <w:szCs w:val="20"/>
        </w:rPr>
      </w:pPr>
    </w:p>
    <w:p w:rsidRPr="00733091" w:rsidR="005016F5" w:rsidP="00733091" w:rsidRDefault="005016F5" w14:paraId="00102590" w14:textId="00102591">
      <w:pPr>
        <w:shd w:val="clear" w:color="auto" w:fill="FFFFFF"/>
        <w:spacing w:after="120"/>
        <w:ind w:firstLine="720"/>
        <w:jc w:val="both"/>
        <w:rPr>
          <w:rFonts w:ascii="Arial" w:hAnsi="Arial" w:eastAsia="Times New Roman" w:cs="Arial"/>
          <w:color w:val="000000" w:themeColor="text1"/>
          <w:sz w:val="20"/>
          <w:szCs w:val="20"/>
        </w:rPr>
      </w:pPr>
    </w:p>
    <w:p w14:paraId="001026EE" w14:textId="001026EF">
      <w:pPr>
        <w:pStyle w:val="Heading2"/>
      </w:pPr>
      <w:r>
        <w:rPr/>
        <w:t xml:space="preserve">CHƯƠNG I. NHỮNG QUY ĐỊNH CHUNG</w:t>
      </w:r>
    </w:p>
    <w:p w14:paraId="001026EC" w14:textId="001026ED">
      <w:pPr>
        <w:pStyle w:val="Heading3"/>
      </w:pPr>
      <w:r>
        <w:rPr/>
        <w:t xml:space="preserve">Điều 1. Phạm vi điều chỉnh</w:t>
      </w:r>
    </w:p>
    <w:p w14:paraId="001026EA" w14:textId="001026EB">
      <w:pPr>
        <w:pStyle w:val="Heading3"/>
      </w:pPr>
      <w:r>
        <w:rPr/>
        <w:t xml:space="preserve">Nghị định này quy định chi tiết một số điều của Luật Xây dựng năm 2014</w:t>
      </w:r>
    </w:p>
    <w:p w14:paraId="001026E8" w14:textId="001026E9">
      <w:pPr>
        <w:pStyle w:val="Normal"/>
        <w:jc w:val="both"/>
      </w:pPr>
      <w:r>
        <w:rPr>
          <w:rFonts w:ascii="Arial" w:hAnsi="Arial" w:eastAsia="Arial"/>
          <w:color w:val="auto" w:themeColor="text1"/>
          <w:sz w:val="20"/>
        </w:rPr>
        <w:t xml:space="preserve">Nghị định này quy định chi tiết một số điều của Luật Xây dựng năm 2014 được sửa đổi, bổ sung theo Luật số 62/2020/QH14, bao gồm các nội dung về phân loại dự án, lập và thẩm định báo cáo nghiên cứu khả thi, thẩm định thiết kế, quản lý dự án, giấy phép xây dựng và điều kiện năng lực hoạt động xây dựng.</w:t>
      </w:r>
    </w:p>
    <w:p w14:paraId="001026E6" w14:textId="001026E7">
      <w:pPr>
        <w:pStyle w:val="Heading3"/>
      </w:pPr>
      <w:r>
        <w:rPr/>
        <w:t xml:space="preserve">a) Phân loại dự án đầu tư xây dựng</w:t>
      </w:r>
    </w:p>
    <w:p w14:paraId="001026E4" w14:textId="001026E5">
      <w:pPr>
        <w:pStyle w:val="Normal"/>
        <w:jc w:val="both"/>
      </w:pPr>
      <w:r>
        <w:rPr>
          <w:rFonts w:ascii="Arial" w:hAnsi="Arial" w:eastAsia="Arial"/>
          <w:color w:val="auto" w:themeColor="text1"/>
          <w:sz w:val="20"/>
        </w:rPr>
        <w:t xml:space="preserve">Khoản 6 Điều 49 của Luật Xây dựng năm 2014 được sửa đổi, bổ sung tại khoản 8 Điều 1 của Luật số 62/2020/QH14.</w:t>
      </w:r>
    </w:p>
    <w:p w14:paraId="001026E2" w14:textId="001026E3">
      <w:pPr>
        <w:pStyle w:val="Heading3"/>
      </w:pPr>
      <w:r>
        <w:rPr/>
        <w:t xml:space="preserve">b) Dự án chỉ cần lập Báo cáo kinh tế - kỹ thuật</w:t>
      </w:r>
    </w:p>
    <w:p w14:paraId="001026E0" w14:textId="001026E1">
      <w:pPr>
        <w:pStyle w:val="Normal"/>
        <w:jc w:val="both"/>
      </w:pPr>
      <w:r>
        <w:rPr>
          <w:rFonts w:ascii="Arial" w:hAnsi="Arial" w:eastAsia="Arial"/>
          <w:color w:val="auto" w:themeColor="text1"/>
          <w:sz w:val="20"/>
        </w:rPr>
        <w:t xml:space="preserve">Điểm b khoản 3 Điều 52 của Luật Xây dựng năm 2014 được sửa đổi, bổ sung tại khoản 10 Điều 1.</w:t>
      </w:r>
    </w:p>
    <w:p w14:paraId="001026DE" w14:textId="001026DF">
      <w:pPr>
        <w:pStyle w:val="Heading3"/>
      </w:pPr>
      <w:r>
        <w:rPr/>
        <w:t xml:space="preserve">c) Nội dung Báo cáo nghiên cứu khả thi</w:t>
      </w:r>
    </w:p>
    <w:p w14:paraId="001026DC" w14:textId="001026DD">
      <w:pPr>
        <w:pStyle w:val="Normal"/>
        <w:jc w:val="both"/>
      </w:pPr>
      <w:r>
        <w:rPr>
          <w:rFonts w:ascii="Arial" w:hAnsi="Arial" w:eastAsia="Arial"/>
          <w:color w:val="auto" w:themeColor="text1"/>
          <w:sz w:val="20"/>
        </w:rPr>
        <w:t xml:space="preserve">Điểm d1 khoản 2 Điều 54 quy định nội dung BCNCKT đầu tư xây dựng dự án nhà ở, khu đô thị.</w:t>
      </w:r>
    </w:p>
    <w:p w14:paraId="001026DA" w14:textId="001026DB">
      <w:pPr>
        <w:pStyle w:val="Heading3"/>
      </w:pPr>
      <w:r>
        <w:rPr/>
        <w:t xml:space="preserve">d) Lựa chọn tổ chức thẩm tra</w:t>
      </w:r>
    </w:p>
    <w:p w14:paraId="001026D8" w14:textId="001026D9">
      <w:pPr>
        <w:pStyle w:val="Normal"/>
        <w:jc w:val="both"/>
      </w:pPr>
      <w:r>
        <w:rPr>
          <w:rFonts w:ascii="Arial" w:hAnsi="Arial" w:eastAsia="Arial"/>
          <w:color w:val="auto" w:themeColor="text1"/>
          <w:sz w:val="20"/>
        </w:rPr>
        <w:t xml:space="preserve">Điểm đ khoản 3 Điều 56 về lựa chọn tổ chức, cá nhân thẩm tra phục vụ thẩm định của cơ quan chuyên môn.</w:t>
      </w:r>
    </w:p>
    <w:p w14:paraId="001026D6" w14:textId="001026D7">
      <w:pPr>
        <w:pStyle w:val="Heading3"/>
      </w:pPr>
      <w:r>
        <w:rPr/>
        <w:t xml:space="preserve">đ) Thẩm định công nghệ</w:t>
      </w:r>
    </w:p>
    <w:p w14:paraId="001026D4" w14:textId="001026D5">
      <w:pPr>
        <w:pStyle w:val="Normal"/>
        <w:jc w:val="both"/>
      </w:pPr>
      <w:r>
        <w:rPr>
          <w:rFonts w:ascii="Arial" w:hAnsi="Arial" w:eastAsia="Arial"/>
          <w:color w:val="auto" w:themeColor="text1"/>
          <w:sz w:val="20"/>
        </w:rPr>
        <w:t xml:space="preserve">Khoản 5 Điều 57 về thẩm định hoặc có ý kiến về công nghệ đối với dự án có nguy cơ tác động xấu đến môi trường.</w:t>
      </w:r>
    </w:p>
    <w:p w14:paraId="001026D2" w14:textId="001026D3">
      <w:pPr>
        <w:pStyle w:val="Heading3"/>
      </w:pPr>
      <w:r>
        <w:rPr/>
        <w:t xml:space="preserve">e) Dự án có quy mô lớn</w:t>
      </w:r>
    </w:p>
    <w:p w14:paraId="001026D0" w14:textId="001026D1">
      <w:pPr>
        <w:pStyle w:val="Normal"/>
        <w:jc w:val="both"/>
      </w:pPr>
      <w:r>
        <w:rPr>
          <w:rFonts w:ascii="Arial" w:hAnsi="Arial" w:eastAsia="Arial"/>
          <w:color w:val="auto" w:themeColor="text1"/>
          <w:sz w:val="20"/>
        </w:rPr>
        <w:t xml:space="preserve">Khoản 4 Điều 58 về dự án đầu tư xây dựng có quy mô lớn, công trình ảnh hưởng lớn đến an toàn và lợi ích cộng đồng.</w:t>
      </w:r>
    </w:p>
    <w:p w14:paraId="001026CE" w14:textId="001026CF">
      <w:pPr>
        <w:pStyle w:val="Heading3"/>
      </w:pPr>
      <w:r>
        <w:rPr/>
        <w:t xml:space="preserve">g) Lập, thẩm định, phê duyệt dự án</w:t>
      </w:r>
    </w:p>
    <w:p w14:paraId="001026CC" w14:textId="001026CD">
      <w:pPr>
        <w:pStyle w:val="Normal"/>
        <w:jc w:val="both"/>
      </w:pPr>
      <w:r>
        <w:rPr>
          <w:rFonts w:ascii="Arial" w:hAnsi="Arial" w:eastAsia="Arial"/>
          <w:color w:val="auto" w:themeColor="text1"/>
          <w:sz w:val="20"/>
        </w:rPr>
        <w:t xml:space="preserve">Khoản 6 Điều 61 quy định chi tiết về lập, thẩm định, phê duyệt, điều chỉnh dự án đầu tư xây dựng.</w:t>
      </w:r>
    </w:p>
    <w:p w14:paraId="001026CA" w14:textId="001026CB">
      <w:pPr>
        <w:pStyle w:val="Heading3"/>
      </w:pPr>
      <w:r>
        <w:rPr/>
        <w:t xml:space="preserve">h) Hình thức tổ chức quản lý dự án</w:t>
      </w:r>
    </w:p>
    <w:p w14:paraId="001026C8" w14:textId="001026C9">
      <w:pPr>
        <w:pStyle w:val="Normal"/>
        <w:jc w:val="both"/>
      </w:pPr>
      <w:r>
        <w:rPr>
          <w:rFonts w:ascii="Arial" w:hAnsi="Arial" w:eastAsia="Arial"/>
          <w:color w:val="auto" w:themeColor="text1"/>
          <w:sz w:val="20"/>
        </w:rPr>
        <w:t xml:space="preserve">Khoản 4 Điều 62 được sửa đổi, bổ sung tại khoản 19 Điều 1 của Luật số 62/2020/QH14.</w:t>
      </w:r>
    </w:p>
    <w:p w14:paraId="001026C6" w14:textId="001026C7">
      <w:pPr>
        <w:pStyle w:val="Heading3"/>
      </w:pPr>
      <w:r>
        <w:rPr/>
        <w:t xml:space="preserve">i) Các bước thiết kế xây dựng</w:t>
      </w:r>
    </w:p>
    <w:p w14:paraId="001026C4" w14:textId="001026C5">
      <w:pPr>
        <w:pStyle w:val="Normal"/>
        <w:jc w:val="both"/>
      </w:pPr>
      <w:r>
        <w:rPr>
          <w:rFonts w:ascii="Arial" w:hAnsi="Arial" w:eastAsia="Arial"/>
          <w:color w:val="auto" w:themeColor="text1"/>
          <w:sz w:val="20"/>
        </w:rPr>
        <w:t xml:space="preserve">Khoản 6 Điều 78 quy định chi tiết về các bước thiết kế xây dựng, thẩm định, phê duyệt, điều chỉnh thiết kế.</w:t>
      </w:r>
    </w:p>
    <w:p w14:paraId="001026C2" w14:textId="001026C3">
      <w:pPr>
        <w:pStyle w:val="Heading3"/>
      </w:pPr>
      <w:r>
        <w:rPr/>
        <w:t xml:space="preserve">k) Miễn giấy phép xây dựng</w:t>
      </w:r>
    </w:p>
    <w:p w14:paraId="001026C0" w14:textId="001026C1">
      <w:pPr>
        <w:pStyle w:val="Normal"/>
        <w:jc w:val="both"/>
      </w:pPr>
      <w:r>
        <w:rPr>
          <w:rFonts w:ascii="Arial" w:hAnsi="Arial" w:eastAsia="Arial"/>
          <w:color w:val="auto" w:themeColor="text1"/>
          <w:sz w:val="20"/>
        </w:rPr>
        <w:t xml:space="preserve">Điểm đ khoản 2 Điều 89 về công trình hạ tầng kỹ thuật viễn thông thụ động được miễn giấy phép.</w:t>
      </w:r>
    </w:p>
    <w:p w14:paraId="001026BE" w14:textId="001026BF">
      <w:pPr>
        <w:pStyle w:val="Heading3"/>
      </w:pPr>
      <w:r>
        <w:rPr/>
        <w:t xml:space="preserve">l) Cấp giấy phép xây dựng</w:t>
      </w:r>
    </w:p>
    <w:p w14:paraId="001026BC" w14:textId="001026BD">
      <w:pPr>
        <w:pStyle w:val="Normal"/>
        <w:jc w:val="both"/>
      </w:pPr>
      <w:r>
        <w:rPr>
          <w:rFonts w:ascii="Arial" w:hAnsi="Arial" w:eastAsia="Arial"/>
          <w:color w:val="auto" w:themeColor="text1"/>
          <w:sz w:val="20"/>
        </w:rPr>
        <w:t xml:space="preserve">Khoản 5 Điều 102 được sửa đổi, bổ sung tại khoản 36 Điều 1 về việc cấp giấy phép xây dựng.</w:t>
      </w:r>
    </w:p>
    <w:p w14:paraId="001026BA" w14:textId="001026BB">
      <w:pPr>
        <w:pStyle w:val="Heading3"/>
      </w:pPr>
      <w:r>
        <w:rPr/>
        <w:t xml:space="preserve">m) Công trình xây dựng đặc thù</w:t>
      </w:r>
    </w:p>
    <w:p w14:paraId="001026B8" w14:textId="001026B9">
      <w:pPr>
        <w:pStyle w:val="Normal"/>
        <w:jc w:val="both"/>
      </w:pPr>
      <w:r>
        <w:rPr>
          <w:rFonts w:ascii="Arial" w:hAnsi="Arial" w:eastAsia="Arial"/>
          <w:color w:val="auto" w:themeColor="text1"/>
          <w:sz w:val="20"/>
        </w:rPr>
        <w:t xml:space="preserve">Khoản 2 Điều 128 quy định chi tiết về công trình xây dựng đặc thù.</w:t>
      </w:r>
    </w:p>
    <w:p w14:paraId="001026B6" w14:textId="001026B7">
      <w:pPr>
        <w:pStyle w:val="Heading3"/>
      </w:pPr>
      <w:r>
        <w:rPr/>
        <w:t xml:space="preserve">n) Điều kiện năng lực</w:t>
      </w:r>
    </w:p>
    <w:p w14:paraId="001026B4" w14:textId="001026B5">
      <w:pPr>
        <w:pStyle w:val="Normal"/>
        <w:jc w:val="both"/>
      </w:pPr>
      <w:r>
        <w:rPr>
          <w:rFonts w:ascii="Arial" w:hAnsi="Arial" w:eastAsia="Arial"/>
          <w:color w:val="auto" w:themeColor="text1"/>
          <w:sz w:val="20"/>
        </w:rPr>
        <w:t xml:space="preserve">Khoản 5 Điều 148 về điều kiện năng lực của tổ chức, cá nhân; sát hạch, cấp chứng chỉ hành nghề.</w:t>
      </w:r>
    </w:p>
    <w:p w14:paraId="001026B2" w14:textId="001026B3">
      <w:pPr>
        <w:pStyle w:val="Heading3"/>
      </w:pPr>
      <w:r>
        <w:rPr/>
        <w:t xml:space="preserve">o) Ban hành chính sách</w:t>
      </w:r>
    </w:p>
    <w:p w14:paraId="001026B0" w14:textId="001026B1">
      <w:pPr>
        <w:pStyle w:val="Normal"/>
        <w:jc w:val="both"/>
      </w:pPr>
      <w:r>
        <w:rPr>
          <w:rFonts w:ascii="Arial" w:hAnsi="Arial" w:eastAsia="Arial"/>
          <w:color w:val="auto" w:themeColor="text1"/>
          <w:sz w:val="20"/>
        </w:rPr>
        <w:t xml:space="preserve">Khoản 2 Điều 161 về ban hành, chỉ đạo xây dựng và thực hiện chính sách, chiến lược phát triển bền vững.</w:t>
      </w:r>
    </w:p>
    <w:p w14:paraId="001026AE" w14:textId="001026AF">
      <w:pPr>
        <w:pStyle w:val="Heading3"/>
      </w:pPr>
      <w:r>
        <w:rPr/>
        <w:t xml:space="preserve">Các biện pháp thi hành Luật Xây dựng</w:t>
      </w:r>
    </w:p>
    <w:p w14:paraId="001026AC" w14:textId="001026AD">
      <w:pPr>
        <w:pStyle w:val="Normal"/>
        <w:jc w:val="both"/>
      </w:pPr>
      <w:r>
        <w:rPr>
          <w:rFonts w:ascii="Arial" w:hAnsi="Arial" w:eastAsia="Arial"/>
          <w:color w:val="auto" w:themeColor="text1"/>
          <w:sz w:val="20"/>
        </w:rPr>
        <w:t xml:space="preserve">Các biện pháp thi hành Luật Xây dựng về quản lý hoạt động xây dựng bao gồm:</w:t>
      </w:r>
    </w:p>
    <w:p w14:paraId="001026AA" w14:textId="001026AB">
      <w:pPr>
        <w:pStyle w:val="Heading3"/>
      </w:pPr>
      <w:r>
        <w:rPr/>
        <w:t xml:space="preserve">a) Trình tự đầu tư xây dựng</w:t>
      </w:r>
    </w:p>
    <w:p w14:paraId="001026A8" w14:textId="001026A9">
      <w:pPr>
        <w:pStyle w:val="Heading3"/>
      </w:pPr>
      <w:r>
        <w:rPr/>
        <w:t xml:space="preserve">b) Trình tự thực hiện khảo sát xây dựng</w:t>
      </w:r>
    </w:p>
    <w:p w14:paraId="001026A6" w14:textId="001026A7">
      <w:pPr>
        <w:pStyle w:val="Heading3"/>
      </w:pPr>
      <w:r>
        <w:rPr/>
        <w:t xml:space="preserve">c) Quản lý trật tự xây dựng</w:t>
      </w:r>
    </w:p>
    <w:p w14:paraId="001026A4" w14:textId="001026A5">
      <w:pPr>
        <w:pStyle w:val="Heading3"/>
      </w:pPr>
      <w:r>
        <w:rPr/>
        <w:t xml:space="preserve">Các hoạt động khác</w:t>
      </w:r>
    </w:p>
    <w:p w14:paraId="001026A2" w14:textId="001026A3">
      <w:pPr>
        <w:pStyle w:val="Normal"/>
        <w:jc w:val="both"/>
      </w:pPr>
      <w:r>
        <w:rPr>
          <w:rFonts w:ascii="Arial" w:hAnsi="Arial" w:eastAsia="Arial"/>
          <w:color w:val="auto" w:themeColor="text1"/>
          <w:sz w:val="20"/>
        </w:rPr>
        <w:t xml:space="preserve">Việc quản lý các hoạt động xây dựng về quy hoạch xây dựng; chi phí đầu tư xây dựng; chất lượng, thi công và bảo trì công trình thực hiện theo quy định riêng của Chính phủ.</w:t>
      </w:r>
    </w:p>
    <w:p w14:paraId="001026A0" w14:textId="001026A1">
      <w:pPr>
        <w:pStyle w:val="Heading3"/>
      </w:pPr>
      <w:r>
        <w:rPr/>
        <w:t xml:space="preserve">Điều 2. Đối tượng áp dụng</w:t>
      </w:r>
    </w:p>
    <w:p w14:paraId="0010269E" w14:textId="0010269F">
      <w:pPr>
        <w:pStyle w:val="Heading3"/>
      </w:pPr>
      <w:r>
        <w:rPr/>
        <w:t xml:space="preserve">Phạm vi áp dụng chung</w:t>
      </w:r>
    </w:p>
    <w:p w14:paraId="0010269C" w14:textId="0010269D">
      <w:pPr>
        <w:pStyle w:val="Normal"/>
        <w:jc w:val="both"/>
      </w:pPr>
      <w:r>
        <w:rPr>
          <w:rFonts w:ascii="Arial" w:hAnsi="Arial" w:eastAsia="Arial"/>
          <w:color w:val="auto" w:themeColor="text1"/>
          <w:sz w:val="20"/>
        </w:rPr>
        <w:t xml:space="preserve">Nghị định này áp dụng đối với cơ quan, tổ chức, cá nhân trong nước; tổ chức, cá nhân nước ngoài hoạt động đầu tư xây dựng trên lãnh thổ Việt Nam.</w:t>
      </w:r>
    </w:p>
    <w:p w14:paraId="0010269A" w14:textId="0010269B">
      <w:pPr>
        <w:pStyle w:val="Heading3"/>
      </w:pPr>
      <w:r>
        <w:rPr/>
        <w:t xml:space="preserve">Hoạt động đầu tư xây dựng ở nước ngoài</w:t>
      </w:r>
    </w:p>
    <w:p w14:paraId="00102698" w14:textId="00102699">
      <w:pPr>
        <w:pStyle w:val="Normal"/>
        <w:jc w:val="both"/>
      </w:pPr>
      <w:r>
        <w:rPr>
          <w:rFonts w:ascii="Arial" w:hAnsi="Arial" w:eastAsia="Arial"/>
          <w:color w:val="auto" w:themeColor="text1"/>
          <w:sz w:val="20"/>
        </w:rPr>
        <w:t xml:space="preserve">Các tổ chức, cá nhân trong nước hoạt động đầu tư xây dựng tại nước ngoài thực hiện theo quy định riêng tại Mục 2 Chương V.</w:t>
      </w:r>
    </w:p>
    <w:p w14:paraId="00102696" w14:textId="00102697">
      <w:pPr>
        <w:pStyle w:val="Heading3"/>
      </w:pPr>
      <w:r>
        <w:rPr/>
        <w:t xml:space="preserve">Dự án sử dụng vốn ODA</w:t>
      </w:r>
    </w:p>
    <w:p w14:paraId="00102694" w14:textId="00102695">
      <w:pPr>
        <w:pStyle w:val="Normal"/>
        <w:jc w:val="both"/>
      </w:pPr>
      <w:r>
        <w:rPr>
          <w:rFonts w:ascii="Arial" w:hAnsi="Arial" w:eastAsia="Arial"/>
          <w:color w:val="auto" w:themeColor="text1"/>
          <w:sz w:val="20"/>
        </w:rPr>
        <w:t xml:space="preserve">Đối với dự án sử dụng vốn ODA, vốn vay ưu đãi của nhà tài trợ nước ngoài thực hiện theo quy định của Nghị định này và pháp luật về ODA.</w:t>
      </w:r>
    </w:p>
    <w:p w14:paraId="00102692" w14:textId="00102693">
      <w:pPr>
        <w:pStyle w:val="Heading3"/>
      </w:pPr>
      <w:r>
        <w:rPr/>
        <w:t xml:space="preserve">Điều 3. Giải thích từ ngữ</w:t>
      </w:r>
    </w:p>
    <w:p w14:paraId="00102690" w14:textId="00102691">
      <w:pPr>
        <w:pStyle w:val="Normal"/>
        <w:jc w:val="both"/>
      </w:pPr>
      <w:r>
        <w:rPr>
          <w:rFonts w:ascii="Arial" w:hAnsi="Arial" w:eastAsia="Arial"/>
          <w:color w:val="auto" w:themeColor="text1"/>
          <w:sz w:val="20"/>
        </w:rPr>
        <w:t xml:space="preserve">Các thuật ngữ trong Nghị định được hiểu theo Luật Xây dựng và các quy định pháp luật có liên quan.</w:t>
      </w:r>
    </w:p>
    <w:p w14:paraId="0010268E" w14:textId="0010268F">
      <w:pPr>
        <w:pStyle w:val="Heading3"/>
      </w:pPr>
      <w:r>
        <w:rPr/>
        <w:t xml:space="preserve">Điều 4. Trình tự đầu tư xây dựng</w:t>
      </w:r>
    </w:p>
    <w:p w14:paraId="0010268C" w14:textId="0010268D">
      <w:pPr>
        <w:pStyle w:val="Normal"/>
        <w:jc w:val="both"/>
      </w:pPr>
      <w:r>
        <w:rPr>
          <w:rFonts w:ascii="Arial" w:hAnsi="Arial" w:eastAsia="Arial"/>
          <w:color w:val="auto" w:themeColor="text1"/>
          <w:sz w:val="20"/>
        </w:rPr>
        <w:t xml:space="preserve">Quy định về các giai đoạn và trình tự thực hiện dự án đầu tư xây dựng từ khâu chuẩn bị đến khâu nghiệm thu, bàn giao công trình.</w:t>
      </w:r>
    </w:p>
    <w:p w14:paraId="0010268A" w14:textId="0010268B">
      <w:pPr>
        <w:pStyle w:val="Heading3"/>
      </w:pPr>
      <w:r>
        <w:rPr/>
        <w:t xml:space="preserve">Điều 5. Phân loại dự án đầu tư xây dựng</w:t>
      </w:r>
    </w:p>
    <w:p w14:paraId="00102688" w14:textId="00102689">
      <w:pPr>
        <w:pStyle w:val="Normal"/>
        <w:jc w:val="both"/>
      </w:pPr>
      <w:r>
        <w:rPr>
          <w:rFonts w:ascii="Arial" w:hAnsi="Arial" w:eastAsia="Arial"/>
          <w:color w:val="auto" w:themeColor="text1"/>
          <w:sz w:val="20"/>
        </w:rPr>
        <w:t xml:space="preserve">Dự án đầu tư xây dựng được phân loại theo công năng, quy mô, tính chất chuyên ngành và mục đích quản lý theo quy định tại Phụ lục X.</w:t>
      </w:r>
    </w:p>
    <w:p w14:paraId="00102686" w14:textId="00102687">
      <w:pPr>
        <w:pStyle w:val="Heading3"/>
      </w:pPr>
      <w:r>
        <w:rPr/>
        <w:t xml:space="preserve">Điều 6. Nguyên tắc lập, thẩm định, phê duyệt dự án</w:t>
      </w:r>
    </w:p>
    <w:p w14:paraId="00102684" w14:textId="00102685">
      <w:pPr>
        <w:pStyle w:val="Heading3"/>
      </w:pPr>
      <w:r>
        <w:rPr/>
        <w:t xml:space="preserve">Khách quan, minh bạch</w:t>
      </w:r>
    </w:p>
    <w:p w14:paraId="00102682" w14:textId="00102683">
      <w:pPr>
        <w:pStyle w:val="Normal"/>
        <w:jc w:val="both"/>
      </w:pPr>
      <w:r>
        <w:rPr>
          <w:rFonts w:ascii="Arial" w:hAnsi="Arial" w:eastAsia="Arial"/>
          <w:color w:val="auto" w:themeColor="text1"/>
          <w:sz w:val="20"/>
        </w:rPr>
        <w:t xml:space="preserve">Việc lập, thẩm định phải khách quan, minh bạch về trình tự, thủ tục, hồ sơ, kết quả thẩm định và tuân thủ quy định về thủ tục hành chính.</w:t>
      </w:r>
    </w:p>
    <w:p w14:paraId="00102680" w14:textId="00102681">
      <w:pPr>
        <w:pStyle w:val="Heading3"/>
      </w:pPr>
      <w:r>
        <w:rPr/>
        <w:t xml:space="preserve">Thẩm định và phê duyệt dự án</w:t>
      </w:r>
    </w:p>
    <w:p w14:paraId="0010267E" w14:textId="0010267F">
      <w:pPr>
        <w:pStyle w:val="Normal"/>
        <w:jc w:val="both"/>
      </w:pPr>
      <w:r>
        <w:rPr>
          <w:rFonts w:ascii="Arial" w:hAnsi="Arial" w:eastAsia="Arial"/>
          <w:color w:val="auto" w:themeColor="text1"/>
          <w:sz w:val="20"/>
        </w:rPr>
        <w:t xml:space="preserve">Việc lập, thẩm định Báo cáo nghiên cứu khả thi, phê duyệt dự án được thực hiện với toàn bộ dự án, từng dự án thành phần hoặc theo giai đoạn thực hiện.</w:t>
      </w:r>
    </w:p>
    <w:p w14:paraId="0010267C" w14:textId="0010267D">
      <w:pPr>
        <w:pStyle w:val="Heading3"/>
      </w:pPr>
      <w:r>
        <w:rPr/>
        <w:t xml:space="preserve">Thẩm định thiết kế triển khai</w:t>
      </w:r>
    </w:p>
    <w:p w14:paraId="0010267A" w14:textId="0010267B">
      <w:pPr>
        <w:pStyle w:val="Normal"/>
        <w:jc w:val="both"/>
      </w:pPr>
      <w:r>
        <w:rPr>
          <w:rFonts w:ascii="Arial" w:hAnsi="Arial" w:eastAsia="Arial"/>
          <w:color w:val="auto" w:themeColor="text1"/>
          <w:sz w:val="20"/>
        </w:rPr>
        <w:t xml:space="preserve">Việc lập, thẩm định, phê duyệt thiết kế triển khai sau thiết kế cơ sở được thực hiện đối với toàn bộ hoặc từng công trình, từng phần công trình.</w:t>
      </w:r>
    </w:p>
    <w:p w14:paraId="00102678" w14:textId="00102679">
      <w:pPr>
        <w:pStyle w:val="Heading3"/>
      </w:pPr>
      <w:r>
        <w:rPr/>
        <w:t xml:space="preserve">Phê duyệt đúng thẩm quyền</w:t>
      </w:r>
    </w:p>
    <w:p w14:paraId="00102676" w14:textId="00102677">
      <w:pPr>
        <w:pStyle w:val="Normal"/>
        <w:jc w:val="both"/>
      </w:pPr>
      <w:r>
        <w:rPr>
          <w:rFonts w:ascii="Arial" w:hAnsi="Arial" w:eastAsia="Arial"/>
          <w:color w:val="auto" w:themeColor="text1"/>
          <w:sz w:val="20"/>
        </w:rPr>
        <w:t xml:space="preserve">Phê duyệt dự án và thiết kế xây dựng đúng thẩm quyền hoặc theo ủy quyền sau khi được các cơ quan thẩm quyền kết luận đủ điều kiện.</w:t>
      </w:r>
    </w:p>
    <w:p w14:paraId="00102674" w14:textId="00102675">
      <w:pPr>
        <w:pStyle w:val="Heading3"/>
      </w:pPr>
      <w:r>
        <w:rPr/>
        <w:t xml:space="preserve">Điều chỉnh dự án, thiết kế</w:t>
      </w:r>
    </w:p>
    <w:p w14:paraId="00102672" w14:textId="00102673">
      <w:pPr>
        <w:pStyle w:val="Normal"/>
        <w:jc w:val="both"/>
      </w:pPr>
      <w:r>
        <w:rPr>
          <w:rFonts w:ascii="Arial" w:hAnsi="Arial" w:eastAsia="Arial"/>
          <w:color w:val="auto" w:themeColor="text1"/>
          <w:sz w:val="20"/>
        </w:rPr>
        <w:t xml:space="preserve">Việc lập, thẩm định, phê duyệt điều chỉnh được thực hiện đối với riêng nội dung điều chỉnh hoặc toàn bộ nội dung.</w:t>
      </w:r>
    </w:p>
    <w:p w14:paraId="00102670" w14:textId="00102671">
      <w:pPr>
        <w:pStyle w:val="Heading3"/>
      </w:pPr>
      <w:r>
        <w:rPr/>
        <w:t xml:space="preserve">Điều 7. Nguyên tắc thực hiện thủ tục hành chính</w:t>
      </w:r>
    </w:p>
    <w:p w14:paraId="0010266E" w14:textId="0010266F">
      <w:pPr>
        <w:pStyle w:val="Heading3"/>
      </w:pPr>
      <w:r>
        <w:rPr/>
        <w:t xml:space="preserve">Thực hiện cơ chế một cửa</w:t>
      </w:r>
    </w:p>
    <w:p w14:paraId="0010266C" w14:textId="0010266D">
      <w:pPr>
        <w:pStyle w:val="Normal"/>
        <w:jc w:val="both"/>
      </w:pPr>
      <w:r>
        <w:rPr>
          <w:rFonts w:ascii="Arial" w:hAnsi="Arial" w:eastAsia="Arial"/>
          <w:color w:val="auto" w:themeColor="text1"/>
          <w:sz w:val="20"/>
        </w:rPr>
        <w:t xml:space="preserve">Các thủ tục hành chính được thực hiện theo quy định của Chính phủ về cơ chế một cửa, một cửa liên thông.</w:t>
      </w:r>
    </w:p>
    <w:p w14:paraId="0010266A" w14:textId="0010266B">
      <w:pPr>
        <w:pStyle w:val="Heading3"/>
      </w:pPr>
      <w:r>
        <w:rPr/>
        <w:t xml:space="preserve">Hình thức nộp hồ sơ</w:t>
      </w:r>
    </w:p>
    <w:p w14:paraId="00102668" w14:textId="00102669">
      <w:pPr>
        <w:pStyle w:val="Normal"/>
        <w:jc w:val="both"/>
      </w:pPr>
      <w:r>
        <w:rPr>
          <w:rFonts w:ascii="Arial" w:hAnsi="Arial" w:eastAsia="Arial"/>
          <w:color w:val="auto" w:themeColor="text1"/>
          <w:sz w:val="20"/>
        </w:rPr>
        <w:t xml:space="preserve">Việc nộp hồ sơ thực hiện theo một trong các hình thức:</w:t>
      </w:r>
    </w:p>
    <w:p w14:paraId="00102666" w14:textId="00102667">
      <w:pPr>
        <w:pStyle w:val="Heading3"/>
      </w:pPr>
      <w:r>
        <w:rPr/>
        <w:t xml:space="preserve">a) Trực tiếp tại Bộ phận Một cửa</w:t>
      </w:r>
    </w:p>
    <w:p w14:paraId="00102664" w14:textId="00102665">
      <w:pPr>
        <w:pStyle w:val="Heading3"/>
      </w:pPr>
      <w:r>
        <w:rPr/>
        <w:t xml:space="preserve">b) Thông qua dịch vụ bưu chính</w:t>
      </w:r>
    </w:p>
    <w:p w14:paraId="00102662" w14:textId="00102663">
      <w:pPr>
        <w:pStyle w:val="Heading3"/>
      </w:pPr>
      <w:r>
        <w:rPr/>
        <w:t xml:space="preserve">c) Trực tuyến tại cổng dịch vụ công</w:t>
      </w:r>
    </w:p>
    <w:p w14:paraId="00102660" w14:textId="00102661">
      <w:pPr>
        <w:pStyle w:val="Heading3"/>
      </w:pPr>
      <w:r>
        <w:rPr/>
        <w:t xml:space="preserve">Trách nhiệm của tổ chức, cá nhân</w:t>
      </w:r>
    </w:p>
    <w:p w14:paraId="0010265E" w14:textId="0010265F">
      <w:pPr>
        <w:pStyle w:val="Normal"/>
        <w:jc w:val="both"/>
      </w:pPr>
      <w:r>
        <w:rPr>
          <w:rFonts w:ascii="Arial" w:hAnsi="Arial" w:eastAsia="Arial"/>
          <w:color w:val="auto" w:themeColor="text1"/>
          <w:sz w:val="20"/>
        </w:rPr>
        <w:t xml:space="preserve">Tổ chức, cá nhân đề nghị giải quyết thủ tục chịu trách nhiệm trước pháp luật về tính hợp pháp, chính xác, trung thực của nội dung hồ sơ.</w:t>
      </w:r>
    </w:p>
    <w:p w14:paraId="0010265C" w14:textId="0010265D">
      <w:pPr>
        <w:pStyle w:val="Heading3"/>
      </w:pPr>
      <w:r>
        <w:rPr/>
        <w:t xml:space="preserve">Không yêu cầu giấy tờ đã có</w:t>
      </w:r>
    </w:p>
    <w:p w14:paraId="0010265A" w14:textId="0010265B">
      <w:pPr>
        <w:pStyle w:val="Normal"/>
        <w:jc w:val="both"/>
      </w:pPr>
      <w:r>
        <w:rPr>
          <w:rFonts w:ascii="Arial" w:hAnsi="Arial" w:eastAsia="Arial"/>
          <w:color w:val="auto" w:themeColor="text1"/>
          <w:sz w:val="20"/>
        </w:rPr>
        <w:t xml:space="preserve">Cơ quan thực hiện thủ tục không yêu cầu cung cấp giấy tờ, thông tin đã có trên hệ thống cơ sở dữ liệu quốc gia.</w:t>
      </w:r>
    </w:p>
    <w:p w14:paraId="00102658" w14:textId="00102659">
      <w:pPr>
        <w:pStyle w:val="Heading3"/>
      </w:pPr>
      <w:r>
        <w:rPr/>
        <w:t xml:space="preserve">Cung cấp thông tin lên cổng điện tử</w:t>
      </w:r>
    </w:p>
    <w:p w14:paraId="00102656" w14:textId="00102657">
      <w:pPr>
        <w:pStyle w:val="Normal"/>
        <w:jc w:val="both"/>
      </w:pPr>
      <w:r>
        <w:rPr>
          <w:rFonts w:ascii="Arial" w:hAnsi="Arial" w:eastAsia="Arial"/>
          <w:color w:val="auto" w:themeColor="text1"/>
          <w:sz w:val="20"/>
        </w:rPr>
        <w:t xml:space="preserve">Khi thực hiện và sau khi kết thúc thủ tục, cơ quan có trách nhiệm cung cấp thông tin lên cổng thông tin điện tử.</w:t>
      </w:r>
    </w:p>
    <w:p w14:paraId="00102654" w14:textId="00102655">
      <w:pPr>
        <w:pStyle w:val="Heading3"/>
      </w:pPr>
      <w:r>
        <w:rPr/>
        <w:t xml:space="preserve">Trách nhiệm của cơ quan giải quyết</w:t>
      </w:r>
    </w:p>
    <w:p w14:paraId="00102652" w14:textId="00102653">
      <w:pPr>
        <w:pStyle w:val="Normal"/>
        <w:jc w:val="both"/>
      </w:pPr>
      <w:r>
        <w:rPr>
          <w:rFonts w:ascii="Arial" w:hAnsi="Arial" w:eastAsia="Arial"/>
          <w:color w:val="auto" w:themeColor="text1"/>
          <w:sz w:val="20"/>
        </w:rPr>
        <w:t xml:space="preserve">Cơ quan, người có thẩm quyền chỉ chịu trách nhiệm về nội dung giải quyết thuộc thẩm quyền theo quy định.</w:t>
      </w:r>
    </w:p>
    <w:p w14:paraId="00102650" w14:textId="00102651">
      <w:pPr>
        <w:pStyle w:val="Heading3"/>
      </w:pPr>
      <w:r>
        <w:rPr/>
        <w:t xml:space="preserve">Ngày thực hiện thủ tục</w:t>
      </w:r>
    </w:p>
    <w:p w14:paraId="0010264E" w14:textId="0010264F">
      <w:pPr>
        <w:pStyle w:val="Normal"/>
        <w:jc w:val="both"/>
      </w:pPr>
      <w:r>
        <w:rPr>
          <w:rFonts w:ascii="Arial" w:hAnsi="Arial" w:eastAsia="Arial"/>
          <w:color w:val="auto" w:themeColor="text1"/>
          <w:sz w:val="20"/>
        </w:rPr>
        <w:t xml:space="preserve">Ngày thực hiện thủ tục không bao gồm ngày nghỉ lễ, tết khi có số ngày nghỉ lớn hơn 03 ngày.</w:t>
      </w:r>
    </w:p>
    <w:p w14:paraId="0010264C" w14:textId="0010264D">
      <w:pPr>
        <w:pStyle w:val="Heading3"/>
      </w:pPr>
      <w:r>
        <w:rPr/>
        <w:t xml:space="preserve">Điều 8. Ứng dụng mô hình thông tin công trình (BIM)</w:t>
      </w:r>
    </w:p>
    <w:p w14:paraId="0010264A" w14:textId="0010264B">
      <w:pPr>
        <w:pStyle w:val="Heading3"/>
      </w:pPr>
      <w:r>
        <w:rPr/>
        <w:t xml:space="preserve">Áp dụng BIM</w:t>
      </w:r>
    </w:p>
    <w:p w14:paraId="00102648" w14:textId="00102649">
      <w:pPr>
        <w:pStyle w:val="Normal"/>
        <w:jc w:val="both"/>
      </w:pPr>
      <w:r>
        <w:rPr>
          <w:rFonts w:ascii="Arial" w:hAnsi="Arial" w:eastAsia="Arial"/>
          <w:color w:val="auto" w:themeColor="text1"/>
          <w:sz w:val="20"/>
        </w:rPr>
        <w:t xml:space="preserve">Việc áp dụng BIM trong hoạt động xây dựng được quy định cụ thể:</w:t>
      </w:r>
    </w:p>
    <w:p w14:paraId="00102646" w14:textId="00102647">
      <w:pPr>
        <w:pStyle w:val="Heading3"/>
      </w:pPr>
      <w:r>
        <w:rPr/>
        <w:t xml:space="preserve">a) Áp dụng đối với dự án từ nhóm B trở lên</w:t>
      </w:r>
    </w:p>
    <w:p w14:paraId="00102644" w14:textId="00102645">
      <w:pPr>
        <w:pStyle w:val="Normal"/>
        <w:jc w:val="both"/>
      </w:pPr>
      <w:r>
        <w:rPr>
          <w:rFonts w:ascii="Arial" w:hAnsi="Arial" w:eastAsia="Arial"/>
          <w:color w:val="auto" w:themeColor="text1"/>
          <w:sz w:val="20"/>
        </w:rPr>
        <w:t xml:space="preserve">Áp dụng đối với dự án có quy mô từ nhóm B trở lên ở thời điểm bắt đầu chuẩn bị dự án và chỉ yêu cầu áp dụng đối với công trình mới từ cấp II trở lên.</w:t>
      </w:r>
    </w:p>
    <w:p w14:paraId="00102642" w14:textId="00102643">
      <w:pPr>
        <w:pStyle w:val="Heading3"/>
      </w:pPr>
      <w:r>
        <w:rPr/>
        <w:t xml:space="preserve">b) Khuyến khích áp dụng</w:t>
      </w:r>
    </w:p>
    <w:p w14:paraId="00102640" w14:textId="00102641">
      <w:pPr>
        <w:pStyle w:val="Normal"/>
        <w:jc w:val="both"/>
      </w:pPr>
      <w:r>
        <w:rPr>
          <w:rFonts w:ascii="Arial" w:hAnsi="Arial" w:eastAsia="Arial"/>
          <w:color w:val="auto" w:themeColor="text1"/>
          <w:sz w:val="20"/>
        </w:rPr>
        <w:t xml:space="preserve">Đối với công trình không thuộc đối tượng bắt buộc, khuyến khích chủ đầu tư chủ động áp dụng BIM.</w:t>
      </w:r>
    </w:p>
    <w:p w14:paraId="0010263E" w14:textId="0010263F">
      <w:pPr>
        <w:pStyle w:val="Heading3"/>
      </w:pPr>
      <w:r>
        <w:rPr/>
        <w:t xml:space="preserve">Cung cấp dữ liệu BIM</w:t>
      </w:r>
    </w:p>
    <w:p w14:paraId="0010263C" w14:textId="0010263D">
      <w:pPr>
        <w:pStyle w:val="Normal"/>
        <w:jc w:val="both"/>
      </w:pPr>
      <w:r>
        <w:rPr>
          <w:rFonts w:ascii="Arial" w:hAnsi="Arial" w:eastAsia="Arial"/>
          <w:color w:val="auto" w:themeColor="text1"/>
          <w:sz w:val="20"/>
        </w:rPr>
        <w:t xml:space="preserve">Chủ đầu tư có trách nhiệm cung cấp dữ liệu BIM theo định dạng gốc và định dạng chuẩn IFC 4.0 hoặc định dạng mở khác phù hợp.</w:t>
        <w:br/>
        <w:t xml:space="preserve">Việc chuẩn hóa dữ liệu được khuyến nghị tham chiếu ISO 19650 và IFC [1], [2] để bảo đảm khả năng trao đổi, lưu trữ và kiểm tra liên thông.</w:t>
      </w:r>
    </w:p>
    <w:p w14:paraId="0010263A" w14:textId="0010263B">
      <w:pPr>
        <w:pStyle w:val="Heading3"/>
      </w:pPr>
      <w:r>
        <w:rPr/>
        <w:t xml:space="preserve">Dữ liệu BIM là tài nguyên số</w:t>
      </w:r>
    </w:p>
    <w:p w14:paraId="00102638" w14:textId="00102639">
      <w:pPr>
        <w:pStyle w:val="Normal"/>
        <w:jc w:val="both"/>
      </w:pPr>
      <w:r>
        <w:rPr>
          <w:rFonts w:ascii="Arial" w:hAnsi="Arial" w:eastAsia="Arial"/>
          <w:color w:val="auto" w:themeColor="text1"/>
          <w:sz w:val="20"/>
        </w:rPr>
        <w:t xml:space="preserve">Dữ liệu BIM là tài nguyên số được tạo lập, quản lý và khai thác trong quá trình thực hiện dự án xây dựng.</w:t>
      </w:r>
    </w:p>
    <w:p w14:paraId="00102636" w14:textId="00102637">
      <w:pPr>
        <w:pStyle w:val="Heading3"/>
      </w:pPr>
      <w:r>
        <w:rPr/>
        <w:t xml:space="preserve">Sử dụng BIM hỗ trợ quản lý nhà nước</w:t>
      </w:r>
    </w:p>
    <w:p w14:paraId="00102634" w14:textId="00102635">
      <w:pPr>
        <w:pStyle w:val="Heading3"/>
      </w:pPr>
      <w:r>
        <w:rPr/>
        <w:t xml:space="preserve">a) Hỗ trợ thẩm định</w:t>
      </w:r>
    </w:p>
    <w:p w14:paraId="00102632" w14:textId="00102633">
      <w:pPr>
        <w:pStyle w:val="Normal"/>
        <w:jc w:val="both"/>
      </w:pPr>
      <w:r>
        <w:rPr>
          <w:rFonts w:ascii="Arial" w:hAnsi="Arial" w:eastAsia="Arial"/>
          <w:color w:val="auto" w:themeColor="text1"/>
          <w:sz w:val="20"/>
        </w:rPr>
        <w:t xml:space="preserve">Cơ quan chuyên môn được sử dụng dữ liệu BIM để hỗ trợ trong quá trình thẩm định và cấp phép xây dựng.</w:t>
      </w:r>
    </w:p>
    <w:p w14:paraId="00102630" w14:textId="00102631">
      <w:pPr>
        <w:pStyle w:val="Heading3"/>
      </w:pPr>
      <w:r>
        <w:rPr/>
        <w:t xml:space="preserve">b) Thẩm tra đánh giá BIM</w:t>
      </w:r>
    </w:p>
    <w:p w14:paraId="0010262E" w14:textId="0010262F">
      <w:pPr>
        <w:pStyle w:val="Normal"/>
        <w:jc w:val="both"/>
      </w:pPr>
      <w:r>
        <w:rPr>
          <w:rFonts w:ascii="Arial" w:hAnsi="Arial" w:eastAsia="Arial"/>
          <w:color w:val="auto" w:themeColor="text1"/>
          <w:sz w:val="20"/>
        </w:rPr>
        <w:t xml:space="preserve">Đối với công trình cấp đặc biệt, cấp I, đơn vị tư vấn thẩm tra cần có đánh giá về tính thống nhất của mô hình BIM.</w:t>
      </w:r>
    </w:p>
    <w:p w14:paraId="0010262C" w14:textId="0010262D">
      <w:pPr>
        <w:pStyle w:val="Heading3"/>
      </w:pPr>
      <w:r>
        <w:rPr/>
        <w:t xml:space="preserve">c) Cập nhật vào cơ sở dữ liệu</w:t>
      </w:r>
    </w:p>
    <w:p w14:paraId="0010262A" w14:textId="0010262B">
      <w:pPr>
        <w:pStyle w:val="Normal"/>
        <w:jc w:val="both"/>
      </w:pPr>
      <w:r>
        <w:rPr>
          <w:rFonts w:ascii="Arial" w:hAnsi="Arial" w:eastAsia="Arial"/>
          <w:color w:val="auto" w:themeColor="text1"/>
          <w:sz w:val="20"/>
        </w:rPr>
        <w:t xml:space="preserve">Chủ đầu tư có trách nhiệm cập nhật tệp tin BIM vào cơ sở dữ liệu quốc gia về hoạt động xây dựng.</w:t>
      </w:r>
    </w:p>
    <w:p w14:paraId="00102628" w14:textId="00102629">
      <w:pPr>
        <w:pStyle w:val="Heading3"/>
      </w:pPr>
      <w:r>
        <w:rPr/>
        <w:t xml:space="preserve">Khuyến khích ứng dụng công nghệ</w:t>
      </w:r>
    </w:p>
    <w:p w14:paraId="00102626" w14:textId="00102627">
      <w:pPr>
        <w:pStyle w:val="Normal"/>
        <w:jc w:val="both"/>
      </w:pPr>
      <w:r>
        <w:rPr>
          <w:rFonts w:ascii="Arial" w:hAnsi="Arial" w:eastAsia="Arial"/>
          <w:color w:val="auto" w:themeColor="text1"/>
          <w:sz w:val="20"/>
        </w:rPr>
        <w:t xml:space="preserve">Khuyến khích nghiên cứu, áp dụng khoa học và công nghệ tiên tiến, ứng dụng công nghệ thông tin trong hoạt động đầu tư xây dựng.</w:t>
      </w:r>
    </w:p>
    <w:p w14:paraId="00102624" w14:textId="00102625">
      <w:pPr>
        <w:pStyle w:val="Heading3"/>
      </w:pPr>
      <w:r>
        <w:rPr/>
        <w:t xml:space="preserve">Điều 9. Công trình hiệu quả năng lượng, công trình xanh</w:t>
      </w:r>
    </w:p>
    <w:p w14:paraId="00102622" w14:textId="00102623">
      <w:pPr>
        <w:pStyle w:val="Normal"/>
        <w:jc w:val="both"/>
      </w:pPr>
      <w:r>
        <w:rPr>
          <w:rFonts w:ascii="Arial" w:hAnsi="Arial" w:eastAsia="Arial"/>
          <w:color w:val="auto" w:themeColor="text1"/>
          <w:sz w:val="20"/>
        </w:rPr>
        <w:t xml:space="preserve">Quy định về tiêu chí, tiêu chuẩn đối với công trình tiết kiệm năng lượng và công trình xanh, thân thiện với môi trường.</w:t>
      </w:r>
    </w:p>
    <w:p w14:paraId="00102620" w14:textId="00102621">
      <w:pPr>
        <w:pStyle w:val="Heading3"/>
      </w:pPr>
      <w:r>
        <w:rPr/>
        <w:t xml:space="preserve">Điều 10. Áp dụng tiêu chuẩn, vật liệu và công nghệ mới</w:t>
      </w:r>
    </w:p>
    <w:p w14:paraId="0010261E" w14:textId="0010261F">
      <w:pPr>
        <w:pStyle w:val="Normal"/>
        <w:jc w:val="both"/>
      </w:pPr>
      <w:r>
        <w:rPr>
          <w:rFonts w:ascii="Arial" w:hAnsi="Arial" w:eastAsia="Arial"/>
          <w:color w:val="auto" w:themeColor="text1"/>
          <w:sz w:val="20"/>
        </w:rPr>
        <w:t xml:space="preserve">Quy định về việc áp dụng tiêu chuẩn, quy chuẩn kỹ thuật, vật liệu và công nghệ mới trong hoạt động xây dựng.</w:t>
      </w:r>
    </w:p>
    <w:p w14:paraId="0010261C" w14:textId="0010261D">
      <w:pPr>
        <w:pStyle w:val="Heading2"/>
      </w:pPr>
      <w:r>
        <w:rPr/>
        <w:t xml:space="preserve">CHƯƠNG II. LẬP, THẨM ĐỊNH, PHÊ DUYỆT, ĐIỀU CHỈNH VÀ TỔ CHỨC QUẢN LÝ DỰ ÁN ĐẦU TƯ XÂY DỰNG</w:t>
      </w:r>
    </w:p>
    <w:p w14:paraId="0010261A" w14:textId="0010261B">
      <w:pPr>
        <w:pStyle w:val="Heading3"/>
      </w:pPr>
      <w:r>
        <w:rPr/>
        <w:t xml:space="preserve">Mục 1. Lập, thẩm định, phê duyệt dự án đầu tư xây dựng</w:t>
      </w:r>
    </w:p>
    <w:p w14:paraId="00102618" w14:textId="00102619">
      <w:pPr>
        <w:pStyle w:val="Heading3"/>
      </w:pPr>
      <w:r>
        <w:rPr/>
        <w:t xml:space="preserve">Điều 11. Lập báo cáo nghiên cứu tiền khả thi đầu tư xây dựng</w:t>
      </w:r>
    </w:p>
    <w:p w14:paraId="00102616" w14:textId="00102617">
      <w:pPr>
        <w:pStyle w:val="Normal"/>
        <w:jc w:val="both"/>
      </w:pPr>
      <w:r>
        <w:rPr>
          <w:rFonts w:ascii="Arial" w:hAnsi="Arial" w:eastAsia="Arial"/>
          <w:color w:val="auto" w:themeColor="text1"/>
          <w:sz w:val="20"/>
        </w:rPr>
        <w:t xml:space="preserve">Quy định về trình tự, nội dung và trách nhiệm lập báo cáo nghiên cứu tiền khả thi đối với dự án đầu tư xây dựng có quy mô lớn, phức tạp.</w:t>
      </w:r>
    </w:p>
    <w:p w14:paraId="00102614" w14:textId="00102615">
      <w:pPr>
        <w:pStyle w:val="Heading3"/>
      </w:pPr>
      <w:r>
        <w:rPr/>
        <w:t xml:space="preserve">Điều 12. Phân chia dự án thành phần</w:t>
      </w:r>
    </w:p>
    <w:p w14:paraId="00102612" w14:textId="00102613">
      <w:pPr>
        <w:pStyle w:val="Normal"/>
        <w:jc w:val="both"/>
      </w:pPr>
      <w:r>
        <w:rPr>
          <w:rFonts w:ascii="Arial" w:hAnsi="Arial" w:eastAsia="Arial"/>
          <w:color w:val="auto" w:themeColor="text1"/>
          <w:sz w:val="20"/>
        </w:rPr>
        <w:t xml:space="preserve">Quy định về điều kiện, trình tự phân chia dự án lớn thành các dự án thành phần để thuận lợi trong quản lý và triển khai.</w:t>
      </w:r>
    </w:p>
    <w:p w14:paraId="00102610" w14:textId="00102611">
      <w:pPr>
        <w:pStyle w:val="Heading3"/>
      </w:pPr>
      <w:r>
        <w:rPr/>
        <w:t xml:space="preserve">Điều 13. Lập báo cáo nghiên cứu khả thi, Báo cáo kinh tế - kỹ thuật</w:t>
      </w:r>
    </w:p>
    <w:p w14:paraId="0010260E" w14:textId="0010260F">
      <w:pPr>
        <w:pStyle w:val="Normal"/>
        <w:jc w:val="both"/>
      </w:pPr>
      <w:r>
        <w:rPr>
          <w:rFonts w:ascii="Arial" w:hAnsi="Arial" w:eastAsia="Arial"/>
          <w:color w:val="auto" w:themeColor="text1"/>
          <w:sz w:val="20"/>
        </w:rPr>
        <w:t xml:space="preserve">Quy định chi tiết về nội dung, hồ sơ Báo cáo nghiên cứu khả thi và Báo cáo kinh tế - kỹ thuật đầu tư xây dựng.</w:t>
      </w:r>
    </w:p>
    <w:p w14:paraId="0010260C" w14:textId="0010260D">
      <w:pPr>
        <w:pStyle w:val="Heading3"/>
      </w:pPr>
      <w:r>
        <w:rPr/>
        <w:t xml:space="preserve">Điều 14-23. Các điều khác về thẩm định và phê duyệt dự án</w:t>
      </w:r>
    </w:p>
    <w:p w14:paraId="0010260A" w14:textId="0010260B">
      <w:pPr>
        <w:pStyle w:val="Normal"/>
        <w:jc w:val="both"/>
      </w:pPr>
      <w:r>
        <w:rPr>
          <w:rFonts w:ascii="Arial" w:hAnsi="Arial" w:eastAsia="Arial"/>
          <w:color w:val="auto" w:themeColor="text1"/>
          <w:sz w:val="20"/>
        </w:rPr>
        <w:t xml:space="preserve">Quy định về thẩm quyền thẩm định, trình tự thẩm định, nội dung thẩm định, hồ sơ trình thẩm định, thời gian thẩm định, phê duyệt và điều chỉnh dự án đầu tư xây dựng.</w:t>
      </w:r>
    </w:p>
    <w:p w14:paraId="00102608" w14:textId="00102609">
      <w:pPr>
        <w:pStyle w:val="Heading3"/>
      </w:pPr>
      <w:r>
        <w:rPr/>
        <w:t xml:space="preserve">Mục 2. Hình thức tổ chức quản lý dự án</w:t>
      </w:r>
    </w:p>
    <w:p w14:paraId="00102606" w14:textId="00102607">
      <w:pPr>
        <w:pStyle w:val="Heading3"/>
      </w:pPr>
      <w:r>
        <w:rPr/>
        <w:t xml:space="preserve">Điều 24. Ban quản lý dự án</w:t>
      </w:r>
    </w:p>
    <w:p w14:paraId="00102604" w14:textId="00102605">
      <w:pPr>
        <w:pStyle w:val="Normal"/>
        <w:jc w:val="both"/>
      </w:pPr>
      <w:r>
        <w:rPr>
          <w:rFonts w:ascii="Arial" w:hAnsi="Arial" w:eastAsia="Arial"/>
          <w:color w:val="auto" w:themeColor="text1"/>
          <w:sz w:val="20"/>
        </w:rPr>
        <w:t xml:space="preserve">Quy định về điều kiện thành lập, tổ chức, nhiệm vụ và quyền hạn của Ban quản lý dự án đầu tư xây dựng chuyên ngành và khu vực.</w:t>
      </w:r>
    </w:p>
    <w:p w14:paraId="00102602" w14:textId="00102603">
      <w:pPr>
        <w:pStyle w:val="Heading3"/>
      </w:pPr>
      <w:r>
        <w:rPr/>
        <w:t xml:space="preserve">Điều 25-28. Các điều khác về quản lý dự án</w:t>
      </w:r>
    </w:p>
    <w:p w14:paraId="00102600" w14:textId="00102601">
      <w:pPr>
        <w:pStyle w:val="Normal"/>
        <w:jc w:val="both"/>
      </w:pPr>
      <w:r>
        <w:rPr>
          <w:rFonts w:ascii="Arial" w:hAnsi="Arial" w:eastAsia="Arial"/>
          <w:color w:val="auto" w:themeColor="text1"/>
          <w:sz w:val="20"/>
        </w:rPr>
        <w:t xml:space="preserve">Quy định về chủ đầu tư, người đại diện chủ đầu tư, tư vấn quản lý dự án và các hình thức quản lý dự án khác.</w:t>
      </w:r>
    </w:p>
    <w:p w14:paraId="001025FE" w14:textId="001025FF">
      <w:pPr>
        <w:pStyle w:val="Heading2"/>
      </w:pPr>
      <w:r>
        <w:rPr/>
        <w:t xml:space="preserve">CHƯƠNG III. KHẢO SÁT, LẬP, THẨM ĐỊNH VÀ PHÊ DUYỆT THIẾT KẾ XÂY DỰNG</w:t>
      </w:r>
    </w:p>
    <w:p w14:paraId="001025FC" w14:textId="001025FD">
      <w:pPr>
        <w:pStyle w:val="Heading3"/>
      </w:pPr>
      <w:r>
        <w:rPr/>
        <w:t xml:space="preserve">Mục 1. Khảo sát xây dựng</w:t>
      </w:r>
    </w:p>
    <w:p w14:paraId="001025FA" w14:textId="001025FB">
      <w:pPr>
        <w:pStyle w:val="Heading3"/>
      </w:pPr>
      <w:r>
        <w:rPr/>
        <w:t xml:space="preserve">Điều 29-34. Quy định về khảo sát xây dựng</w:t>
      </w:r>
    </w:p>
    <w:p w14:paraId="001025F8" w14:textId="001025F9">
      <w:pPr>
        <w:pStyle w:val="Normal"/>
        <w:jc w:val="both"/>
      </w:pPr>
      <w:r>
        <w:rPr>
          <w:rFonts w:ascii="Arial" w:hAnsi="Arial" w:eastAsia="Arial"/>
          <w:color w:val="auto" w:themeColor="text1"/>
          <w:sz w:val="20"/>
        </w:rPr>
        <w:t xml:space="preserve">Quy định về trình tự thực hiện, nhiệm vụ, nội dung, phương án kỹ thuật, quản lý và nghiệm thu công tác khảo sát xây dựng.</w:t>
      </w:r>
    </w:p>
    <w:p w14:paraId="001025F6" w14:textId="001025F7">
      <w:pPr>
        <w:pStyle w:val="Heading3"/>
      </w:pPr>
      <w:r>
        <w:rPr/>
        <w:t xml:space="preserve">Mục 2. Thiết kế xây dựng</w:t>
      </w:r>
    </w:p>
    <w:p w14:paraId="001025F4" w14:textId="001025F5">
      <w:pPr>
        <w:pStyle w:val="Heading3"/>
      </w:pPr>
      <w:r>
        <w:rPr/>
        <w:t xml:space="preserve">Điều 35. Quy định chung về thiết kế xây dựng</w:t>
      </w:r>
    </w:p>
    <w:p w14:paraId="001025F2" w14:textId="001025F3">
      <w:pPr>
        <w:pStyle w:val="Normal"/>
        <w:jc w:val="both"/>
      </w:pPr>
      <w:r>
        <w:rPr>
          <w:rFonts w:ascii="Arial" w:hAnsi="Arial" w:eastAsia="Arial"/>
          <w:color w:val="auto" w:themeColor="text1"/>
          <w:sz w:val="20"/>
        </w:rPr>
        <w:t xml:space="preserve">Quy định về các bước thiết kế, yêu cầu chung đối với thiết kế xây dựng công trình.</w:t>
      </w:r>
    </w:p>
    <w:p w14:paraId="001025F0" w14:textId="001025F1">
      <w:pPr>
        <w:pStyle w:val="Heading3"/>
      </w:pPr>
      <w:r>
        <w:rPr/>
        <w:t xml:space="preserve">Điều 36-42. Các bước thiết kế</w:t>
      </w:r>
    </w:p>
    <w:p w14:paraId="001025EE" w14:textId="001025EF">
      <w:pPr>
        <w:pStyle w:val="Normal"/>
        <w:jc w:val="both"/>
      </w:pPr>
      <w:r>
        <w:rPr>
          <w:rFonts w:ascii="Arial" w:hAnsi="Arial" w:eastAsia="Arial"/>
          <w:color w:val="auto" w:themeColor="text1"/>
          <w:sz w:val="20"/>
        </w:rPr>
        <w:t xml:space="preserve">Quy định chi tiết về thiết kế cơ sở, thiết kế kỹ thuật, thiết kế bản vẽ thi công và hồ sơ thiết kế tương ứng.</w:t>
      </w:r>
    </w:p>
    <w:p w14:paraId="001025EC" w14:textId="001025ED">
      <w:pPr>
        <w:pStyle w:val="Heading3"/>
      </w:pPr>
      <w:r>
        <w:rPr/>
        <w:t xml:space="preserve">Mục 3. Thẩm định, phê duyệt thiết kế triển khai sau thiết kế cơ sở</w:t>
      </w:r>
    </w:p>
    <w:p w14:paraId="001025EA" w14:textId="001025EB">
      <w:pPr>
        <w:pStyle w:val="Heading3"/>
      </w:pPr>
      <w:r>
        <w:rPr/>
        <w:t xml:space="preserve">Điều 43-49. Thẩm định và phê duyệt thiết kế</w:t>
      </w:r>
    </w:p>
    <w:p w14:paraId="001025E8" w14:textId="001025E9">
      <w:pPr>
        <w:pStyle w:val="Normal"/>
        <w:jc w:val="both"/>
      </w:pPr>
      <w:r>
        <w:rPr>
          <w:rFonts w:ascii="Arial" w:hAnsi="Arial" w:eastAsia="Arial"/>
          <w:color w:val="auto" w:themeColor="text1"/>
          <w:sz w:val="20"/>
        </w:rPr>
        <w:t xml:space="preserve">Quy định về thẩm quyền, trình tự, nội dung, hồ sơ, thời gian thẩm định và phê duyệt thiết kế xây dựng triển khai sau thiết kế cơ sở.</w:t>
      </w:r>
    </w:p>
    <w:p w14:paraId="001025E6" w14:textId="001025E7">
      <w:pPr>
        <w:pStyle w:val="Heading2"/>
      </w:pPr>
      <w:r>
        <w:rPr/>
        <w:t xml:space="preserve">CHƯƠNG IV. GIẤY PHÉP XÂY DỰNG VÀ QUẢN LÝ TRẬT TỰ XÂY DỰNG</w:t>
      </w:r>
    </w:p>
    <w:p w14:paraId="001025E4" w14:textId="001025E5">
      <w:pPr>
        <w:pStyle w:val="Heading3"/>
      </w:pPr>
      <w:r>
        <w:rPr/>
        <w:t xml:space="preserve">Điều 50-64. Quy định về giấy phép xây dựng</w:t>
      </w:r>
    </w:p>
    <w:p w14:paraId="001025E2" w14:textId="001025E3">
      <w:pPr>
        <w:pStyle w:val="Normal"/>
        <w:jc w:val="both"/>
      </w:pPr>
      <w:r>
        <w:rPr>
          <w:rFonts w:ascii="Arial" w:hAnsi="Arial" w:eastAsia="Arial"/>
          <w:color w:val="auto" w:themeColor="text1"/>
          <w:sz w:val="20"/>
        </w:rPr>
        <w:t xml:space="preserve">Quy định về điều kiện, thẩm quyền, trình tự, thủ tục, hồ sơ đề nghị cấp, gia hạn, điều chỉnh và thu hồi giấy phép xây dựng; quản lý trật tự xây dựng.</w:t>
      </w:r>
    </w:p>
    <w:p w14:paraId="001025E0" w14:textId="001025E1">
      <w:pPr>
        <w:pStyle w:val="Heading2"/>
      </w:pPr>
      <w:r>
        <w:rPr/>
        <w:t xml:space="preserve">CHƯƠNG V. ĐIỀU KIỆN NĂNG LỰC HOẠT ĐỘNG XÂY DỰNG</w:t>
      </w:r>
    </w:p>
    <w:p w14:paraId="001025DE" w14:textId="001025DF">
      <w:pPr>
        <w:pStyle w:val="Heading3"/>
      </w:pPr>
      <w:r>
        <w:rPr/>
        <w:t xml:space="preserve">Mục 1. Quy định chung</w:t>
      </w:r>
    </w:p>
    <w:p w14:paraId="001025DC" w14:textId="001025DD">
      <w:pPr>
        <w:pStyle w:val="Heading3"/>
      </w:pPr>
      <w:r>
        <w:rPr/>
        <w:t xml:space="preserve">Điều 65-75. Điều kiện năng lực</w:t>
      </w:r>
    </w:p>
    <w:p w14:paraId="001025DA" w14:textId="001025DB">
      <w:pPr>
        <w:pStyle w:val="Normal"/>
        <w:jc w:val="both"/>
      </w:pPr>
      <w:r>
        <w:rPr>
          <w:rFonts w:ascii="Arial" w:hAnsi="Arial" w:eastAsia="Arial"/>
          <w:color w:val="auto" w:themeColor="text1"/>
          <w:sz w:val="20"/>
        </w:rPr>
        <w:t xml:space="preserve">Quy định về điều kiện năng lực, chứng chỉ năng lực hoạt động xây dựng đối với tổ chức và cá nhân tham gia hoạt động xây dựng.</w:t>
      </w:r>
    </w:p>
    <w:p w14:paraId="001025D8" w14:textId="001025D9">
      <w:pPr>
        <w:pStyle w:val="Heading3"/>
      </w:pPr>
      <w:r>
        <w:rPr/>
        <w:t xml:space="preserve">Mục 2. Chứng chỉ hành nghề</w:t>
      </w:r>
    </w:p>
    <w:p w14:paraId="001025D6" w14:textId="001025D7">
      <w:pPr>
        <w:pStyle w:val="Heading3"/>
      </w:pPr>
      <w:r>
        <w:rPr/>
        <w:t xml:space="preserve">Điều 76. Trình tự cấp, thu hồi chứng chỉ hành nghề</w:t>
      </w:r>
    </w:p>
    <w:p w14:paraId="001025D4" w14:textId="001025D5">
      <w:pPr>
        <w:pStyle w:val="Normal"/>
        <w:jc w:val="both"/>
      </w:pPr>
      <w:r>
        <w:rPr>
          <w:rFonts w:ascii="Arial" w:hAnsi="Arial" w:eastAsia="Arial"/>
          <w:color w:val="auto" w:themeColor="text1"/>
          <w:sz w:val="20"/>
        </w:rPr>
        <w:t xml:space="preserve">Quy định về hồ sơ, trình tự, thủ tục đề nghị cấp, cấp lại, thu hồi chứng chỉ hành nghề cá nhân trong hoạt động xây dựng.</w:t>
      </w:r>
    </w:p>
    <w:p w14:paraId="001025D2" w14:textId="001025D3">
      <w:pPr>
        <w:pStyle w:val="Heading3"/>
      </w:pPr>
      <w:r>
        <w:rPr/>
        <w:t xml:space="preserve">Điều 77. Thẩm quyền sát hạch, cấp, thu hồi chứng chỉ</w:t>
      </w:r>
    </w:p>
    <w:p w14:paraId="001025D0" w14:textId="001025D1">
      <w:pPr>
        <w:pStyle w:val="Heading3"/>
      </w:pPr>
      <w:r>
        <w:rPr/>
        <w:t xml:space="preserve">Thẩm quyền sát hạch, cấp chứng chỉ hành nghề</w:t>
      </w:r>
    </w:p>
    <w:p w14:paraId="001025CE" w14:textId="001025CF">
      <w:pPr>
        <w:pStyle w:val="Heading3"/>
      </w:pPr>
      <w:r>
        <w:rPr/>
        <w:t xml:space="preserve">a) Phân cấp thẩm quyền</w:t>
      </w:r>
    </w:p>
    <w:p w14:paraId="001025CC" w14:textId="001025CD">
      <w:pPr>
        <w:pStyle w:val="Normal"/>
        <w:jc w:val="both"/>
      </w:pPr>
      <w:r>
        <w:rPr>
          <w:rFonts w:ascii="Arial" w:hAnsi="Arial" w:eastAsia="Arial"/>
          <w:color w:val="auto" w:themeColor="text1"/>
          <w:sz w:val="20"/>
        </w:rPr>
        <w:t xml:space="preserve">Phân cấp thẩm quyền sát hạch, cấp chứng chỉ hành nghề hạng I theo quy định tại khoản 3 Điều 149 của Luật Xây dựng năm 2014 cho Ủy ban nhân dân cấp tỉnh. Ủy ban nhân dân cấp tỉnh được phân cấp tiếp cho Sở Xây dựng địa phương.</w:t>
      </w:r>
    </w:p>
    <w:p w14:paraId="001025CA" w14:textId="001025CB">
      <w:pPr>
        <w:pStyle w:val="Heading3"/>
      </w:pPr>
      <w:r>
        <w:rPr/>
        <w:t xml:space="preserve">b) Sở Xây dựng cấp chứng chỉ hạng II, III và I</w:t>
      </w:r>
    </w:p>
    <w:p w14:paraId="001025C8" w14:textId="001025C9">
      <w:pPr>
        <w:pStyle w:val="Normal"/>
        <w:jc w:val="both"/>
      </w:pPr>
      <w:r>
        <w:rPr>
          <w:rFonts w:ascii="Arial" w:hAnsi="Arial" w:eastAsia="Arial"/>
          <w:color w:val="auto" w:themeColor="text1"/>
          <w:sz w:val="20"/>
        </w:rPr>
        <w:t xml:space="preserve">Sở Xây dựng cấp chứng chỉ hành nghề hạng II, hạng III và hạng I khi được Ủy ban nhân dân cấp tỉnh phân cấp.</w:t>
      </w:r>
    </w:p>
    <w:p w14:paraId="001025C6" w14:textId="001025C7">
      <w:pPr>
        <w:pStyle w:val="Heading3"/>
      </w:pPr>
      <w:r>
        <w:rPr/>
        <w:t xml:space="preserve">c) Cá nhân nộp lại bản gốc chứng chỉ</w:t>
      </w:r>
    </w:p>
    <w:p w14:paraId="001025C4" w14:textId="001025C5">
      <w:pPr>
        <w:pStyle w:val="Normal"/>
        <w:jc w:val="both"/>
      </w:pPr>
      <w:r>
        <w:rPr>
          <w:rFonts w:ascii="Arial" w:hAnsi="Arial" w:eastAsia="Arial"/>
          <w:color w:val="auto" w:themeColor="text1"/>
          <w:sz w:val="20"/>
        </w:rPr>
        <w:t xml:space="preserve">Cá nhân bị thu hồi chứng chỉ hành nghề phải nộp lại bản gốc chứng chỉ cho cơ quan ra quyết định thu hồi trong thời hạn 05 ngày làm việc, kể từ ngày nhận được quyết định thu hồi.</w:t>
      </w:r>
    </w:p>
    <w:p w14:paraId="001025C2" w14:textId="001025C3">
      <w:pPr>
        <w:pStyle w:val="Heading3"/>
      </w:pPr>
      <w:r>
        <w:rPr/>
        <w:t xml:space="preserve">Đối với trường hợp thu hồi chứng chỉ hành nghề</w:t>
      </w:r>
    </w:p>
    <w:p w14:paraId="001025C0" w14:textId="001025C1">
      <w:pPr>
        <w:pStyle w:val="Heading3"/>
      </w:pPr>
      <w:r>
        <w:rPr/>
        <w:t xml:space="preserve">a) Thời hạn 10 ngày kể từ ngày nhận kết luận thanh tra</w:t>
      </w:r>
    </w:p>
    <w:p w14:paraId="001025BE" w14:textId="001025BF">
      <w:pPr>
        <w:pStyle w:val="Normal"/>
        <w:jc w:val="both"/>
      </w:pPr>
      <w:r>
        <w:rPr>
          <w:rFonts w:ascii="Arial" w:hAnsi="Arial" w:eastAsia="Arial"/>
          <w:color w:val="auto" w:themeColor="text1"/>
          <w:sz w:val="20"/>
        </w:rPr>
        <w:t xml:space="preserve">Trong thời hạn 10 ngày, kể từ ngày nhận được kết luận thanh tra, kiểm tra của cơ quan có thẩm quyền, trong đó có kiến nghị thu hồi chứng chỉ hành nghề hoặc xác định một trong các trường hợp thu hồi chứng chỉ hành nghề quy định tại khoản 2 Điều 75, cơ quan có thẩm quyền thu hồi chứng chỉ hành nghề ban hành quyết định thu hồi chứng chỉ hành nghề, trường hợp không thu hồi thì phải có ý kiến bằng văn bản gửi cơ quan có thẩm quyền.</w:t>
      </w:r>
    </w:p>
    <w:p w14:paraId="001025BC" w14:textId="001025BD">
      <w:pPr>
        <w:pStyle w:val="Heading3"/>
      </w:pPr>
      <w:r>
        <w:rPr/>
        <w:t xml:space="preserve">b) Gửi quyết định thu hồi</w:t>
      </w:r>
    </w:p>
    <w:p w14:paraId="001025BA" w14:textId="001025BB">
      <w:pPr>
        <w:pStyle w:val="Normal"/>
        <w:jc w:val="both"/>
      </w:pPr>
      <w:r>
        <w:rPr>
          <w:rFonts w:ascii="Arial" w:hAnsi="Arial" w:eastAsia="Arial"/>
          <w:color w:val="auto" w:themeColor="text1"/>
          <w:sz w:val="20"/>
        </w:rPr>
        <w:t xml:space="preserve">Cơ quan có thẩm quyền thu hồi chứng chỉ hành nghề có trách nhiệm gửi quyết định thu hồi chứng chỉ hành nghề cho cá nhân bị thu hồi và đăng tải trên trang thông tin điện tử của mình; tích hợp trên trang thông tin điện tử của Bộ Xây dựng.</w:t>
      </w:r>
    </w:p>
    <w:p w14:paraId="001025B8" w14:textId="001025B9">
      <w:pPr>
        <w:pStyle w:val="Heading3"/>
      </w:pPr>
      <w:r>
        <w:rPr/>
        <w:t xml:space="preserve">c) Nộp lại bản gốc</w:t>
      </w:r>
    </w:p>
    <w:p w14:paraId="001025B6" w14:textId="001025B7">
      <w:pPr>
        <w:pStyle w:val="Normal"/>
        <w:jc w:val="both"/>
      </w:pPr>
      <w:r>
        <w:rPr>
          <w:rFonts w:ascii="Arial" w:hAnsi="Arial" w:eastAsia="Arial"/>
          <w:color w:val="auto" w:themeColor="text1"/>
          <w:sz w:val="20"/>
        </w:rPr>
        <w:t xml:space="preserve">Cá nhân bị thu hồi chứng chỉ hành nghề phải nộp lại bản gốc chứng chỉ cho cơ quan ra quyết định thu hồi trong thời hạn 05 ngày làm việc.</w:t>
      </w:r>
    </w:p>
    <w:p w14:paraId="001025B4" w14:textId="001025B5">
      <w:pPr>
        <w:pStyle w:val="Heading3"/>
      </w:pPr>
      <w:r>
        <w:rPr/>
        <w:t xml:space="preserve">Điều 78-80. Các điều khác về chứng chỉ hành nghề</w:t>
      </w:r>
    </w:p>
    <w:p w14:paraId="001025B2" w14:textId="001025B3">
      <w:pPr>
        <w:pStyle w:val="Normal"/>
        <w:jc w:val="both"/>
      </w:pPr>
      <w:r>
        <w:rPr>
          <w:rFonts w:ascii="Arial" w:hAnsi="Arial" w:eastAsia="Arial"/>
          <w:color w:val="auto" w:themeColor="text1"/>
          <w:sz w:val="20"/>
        </w:rPr>
        <w:t xml:space="preserve">Quy định về quyền, nghĩa vụ của cá nhân đề nghị cấp chứng chỉ hành nghề, điều kiện chung để được cấp chứng chỉ và các quy định khác liên quan.</w:t>
      </w:r>
    </w:p>
    <w:p w14:paraId="001025B0" w14:textId="001025B1">
      <w:pPr>
        <w:pStyle w:val="Heading2"/>
      </w:pPr>
      <w:r>
        <w:rPr/>
        <w:t xml:space="preserve">CHƯƠNG VI. ĐIỀU KHOẢN THI HÀNH</w:t>
      </w:r>
    </w:p>
    <w:p w14:paraId="001025AE" w14:textId="001025AF">
      <w:pPr>
        <w:pStyle w:val="Heading3"/>
      </w:pPr>
      <w:r>
        <w:rPr/>
        <w:t xml:space="preserve">Điều 81-85. Điều khoản thi hành</w:t>
      </w:r>
    </w:p>
    <w:p w14:paraId="001025AC" w14:textId="001025AD">
      <w:pPr>
        <w:pStyle w:val="Normal"/>
        <w:jc w:val="both"/>
      </w:pPr>
      <w:r>
        <w:rPr>
          <w:rFonts w:ascii="Arial" w:hAnsi="Arial" w:eastAsia="Arial"/>
          <w:color w:val="auto" w:themeColor="text1"/>
          <w:sz w:val="20"/>
        </w:rPr>
        <w:t xml:space="preserve">Quy định về hiệu lực thi hành, trách nhiệm thi hành và các quy định chuyển tiếp của Nghị định.</w:t>
      </w:r>
    </w:p>
    <w:p w14:paraId="001025AA" w14:textId="001025AB">
      <w:pPr>
        <w:pStyle w:val="Normal"/>
      </w:pPr>
      <w:r>
        <w:rPr/>
        <w:t xml:space="preserve"/>
      </w:r>
    </w:p>
    <w:p w14:paraId="001025A8" w14:textId="001025A9">
      <w:pPr>
        <w:pStyle w:val="Heading2"/>
      </w:pPr>
      <w:r>
        <w:rPr/>
        <w:t xml:space="preserve">TÀI LIỆU THAM KHẢO</w:t>
      </w:r>
    </w:p>
    <w:p w14:paraId="001025A6" w14:textId="001025A7">
      <w:pPr>
        <w:pStyle w:val="ListParagraph"/>
        <w:jc w:val="center"/>
      </w:pPr>
      <w:r>
        <w:rPr>
          <w:rFonts w:ascii="Arial" w:hAnsi="Arial" w:eastAsia="Arial"/>
          <w:color w:val="auto" w:themeColor="text1"/>
          <w:sz w:val="20"/>
        </w:rPr>
        <w:t xml:space="preserve">[1] ISO 19650-1:2018. Organization and digitization of information about buildings and civil engineering works, including building information modelling (BIM).</w:t>
      </w:r>
    </w:p>
    <w:p w14:paraId="001025A4" w14:textId="001025A5">
      <w:pPr>
        <w:pStyle w:val="ListParagraph"/>
        <w:jc w:val="center"/>
      </w:pPr>
      <w:r>
        <w:rPr>
          <w:rFonts w:ascii="Arial" w:hAnsi="Arial" w:eastAsia="Arial"/>
          <w:color w:val="auto" w:themeColor="text1"/>
          <w:sz w:val="20"/>
        </w:rPr>
        <w:t xml:space="preserve">[2] BuildingSMART International. Industry Foundation Classes (IFC) 4.3 Addendum 2.</w:t>
      </w:r>
    </w:p>
    <w:p w14:paraId="001025A2" w14:textId="001025A3">
      <w:pPr>
        <w:pStyle w:val="ListParagraph"/>
        <w:jc w:val="center"/>
      </w:pPr>
      <w:r>
        <w:rPr>
          <w:rFonts w:ascii="Arial" w:hAnsi="Arial" w:eastAsia="Arial"/>
          <w:color w:val="auto" w:themeColor="text1"/>
          <w:sz w:val="20"/>
        </w:rPr>
        <w:t xml:space="preserve">[3] Bộ Xây dựng. Tài liệu hướng dẫn áp dụng mô hình thông tin công trình (BIM) trong hoạt động xây dựng.</w:t>
      </w:r>
    </w:p>
    <w:p w14:paraId="001025A0" w14:textId="001025A1">
      <w:pPr>
        <w:pStyle w:val="Heading2"/>
      </w:pPr>
      <w:r>
        <w:rPr/>
        <w:t xml:space="preserve">PHỤ LỤC</w:t>
      </w:r>
    </w:p>
    <w:p w14:paraId="0010259E" w14:textId="0010259F">
      <w:pPr>
        <w:pStyle w:val="Heading3"/>
      </w:pPr>
      <w:r>
        <w:rPr/>
        <w:t xml:space="preserve">Phụ lục A. Danh mục mẫu phục vụ kiểm thử</w:t>
      </w:r>
    </w:p>
    <w:p w14:paraId="0010259C" w14:textId="0010259D">
      <w:pPr>
        <w:pStyle w:val="ListParagraph"/>
        <w:numPr>
          <w:ilvl w:val="0"/>
          <w:numId w:val="9"/>
        </w:numPr>
        <w:jc w:val="both"/>
      </w:pPr>
      <w:r>
        <w:rPr>
          <w:rFonts w:ascii="Arial" w:hAnsi="Arial" w:eastAsia="Arial"/>
          <w:color w:val="auto" w:themeColor="text1"/>
          <w:sz w:val="20"/>
        </w:rPr>
        <w:t xml:space="preserve">Hồ sơ đề nghị chấp thuận chủ trương đầu tư xây dựng.</w:t>
      </w:r>
    </w:p>
    <w:p w14:paraId="0010259A" w14:textId="0010259B">
      <w:pPr>
        <w:pStyle w:val="ListParagraph"/>
        <w:numPr>
          <w:ilvl w:val="0"/>
          <w:numId w:val="9"/>
        </w:numPr>
        <w:jc w:val="both"/>
      </w:pPr>
      <w:r>
        <w:rPr>
          <w:rFonts w:ascii="Arial" w:hAnsi="Arial" w:eastAsia="Arial"/>
          <w:color w:val="auto" w:themeColor="text1"/>
          <w:sz w:val="20"/>
        </w:rPr>
        <w:t xml:space="preserve">Hồ sơ thẩm định Báo cáo nghiên cứu khả thi.</w:t>
      </w:r>
    </w:p>
    <w:p w14:paraId="001026F0" w14:textId="001026F4">
      <w:pPr>
        <w:pStyle w:val="ListParagraph"/>
        <w:numPr>
          <w:ilvl w:val="1"/>
          <w:numId w:val="11"/>
        </w:numPr>
        <w:jc w:val="both"/>
      </w:pPr>
      <w:r>
        <w:rPr>
          <w:rFonts w:ascii="Arial" w:hAnsi="Arial" w:eastAsia="Arial"/>
          <w:color w:val="auto" w:themeColor="text1"/>
          <w:sz w:val="20"/>
        </w:rPr>
        <w:t xml:space="preserve">Tệp thuyết minh tổng hợp định dạng </w:t>
      </w:r>
      <w:r>
        <w:rPr>
          <w:rFonts w:ascii="Arial" w:hAnsi="Arial" w:eastAsia="Arial"/>
          <w:color w:val="auto" w:themeColor="text1"/>
          <w:sz w:val="20"/>
        </w:rPr>
        <w:t xml:space="preserve">docx</w:t>
      </w:r>
      <w:r>
        <w:rPr>
          <w:rFonts w:ascii="Arial" w:hAnsi="Arial" w:eastAsia="Arial"/>
          <w:color w:val="auto" w:themeColor="text1"/>
          <w:sz w:val="20"/>
        </w:rPr>
        <w:t xml:space="preserve">.</w:t>
      </w:r>
    </w:p>
    <w:p w14:paraId="001026F5" w14:textId="001026F9">
      <w:pPr>
        <w:pStyle w:val="ListParagraph"/>
        <w:numPr>
          <w:ilvl w:val="1"/>
          <w:numId w:val="11"/>
        </w:numPr>
        <w:jc w:val="both"/>
      </w:pPr>
      <w:r>
        <w:rPr>
          <w:rFonts w:ascii="Arial" w:hAnsi="Arial" w:eastAsia="Arial"/>
          <w:color w:val="auto" w:themeColor="text1"/>
          <w:sz w:val="20"/>
        </w:rPr>
        <w:t xml:space="preserve">Tệp mô hình thông tin công trình định dạng </w:t>
      </w:r>
      <w:r>
        <w:rPr>
          <w:rFonts w:ascii="Arial" w:hAnsi="Arial" w:eastAsia="Arial"/>
          <w:color w:val="auto" w:themeColor="text1"/>
          <w:sz w:val="20"/>
        </w:rPr>
        <w:t xml:space="preserve">ifc</w:t>
      </w:r>
      <w:r>
        <w:rPr>
          <w:rFonts w:ascii="Arial" w:hAnsi="Arial" w:eastAsia="Arial"/>
          <w:color w:val="auto" w:themeColor="text1"/>
          <w:sz w:val="20"/>
        </w:rPr>
        <w:t xml:space="preserve">.</w:t>
      </w:r>
    </w:p>
    <w:p w14:paraId="001026FA" w14:textId="001026FB">
      <w:pPr>
        <w:pStyle w:val="ListParagraph"/>
        <w:numPr>
          <w:ilvl w:val="0"/>
          <w:numId w:val="12"/>
        </w:numPr>
        <w:jc w:val="both"/>
      </w:pPr>
      <w:r>
        <w:rPr>
          <w:rFonts w:ascii="Arial" w:hAnsi="Arial" w:eastAsia="Arial"/>
          <w:color w:val="auto" w:themeColor="text1"/>
          <w:sz w:val="20"/>
        </w:rPr>
        <w:t xml:space="preserve">Hồ sơ đề nghị cấp giấy phép xây dựng qua cổng dịch vụ công.</w:t>
      </w:r>
    </w:p>
    <w:tbl>
      <w:tblPr>
        <w:tblW w:w="9024" w:type="dxa"/>
        <w:tblBorders>
          <w:top w:val="single" w:sz="4"/>
          <w:left w:val="single" w:sz="4"/>
          <w:bottom w:val="single" w:sz="4"/>
          <w:right w:val="single" w:sz="4"/>
          <w:insideH w:val="single" w:sz="4"/>
          <w:insideV w:val="single" w:sz="4"/>
        </w:tblBorders>
      </w:tblPr>
      <w:tblGrid>
        <w:gridCol w:w="3008"/>
        <w:gridCol w:w="3008"/>
        <w:gridCol w:w="3008"/>
      </w:tblGrid>
      <w:tr>
        <w:tc>
          <w:tcPr/>
          <w:p w14:paraId="001026FC" w14:textId="001026FD">
            <w:pPr>
              <w:rPr>
                <w:b/>
              </w:rPr>
            </w:pPr>
            <w:r>
              <w:rPr>
                <w:b/>
              </w:rPr>
              <w:t xml:space="preserve">Nhóm dữ liệu</w:t>
            </w:r>
          </w:p>
        </w:tc>
        <w:tc>
          <w:tcPr/>
          <w:p w14:paraId="001026FE" w14:textId="001026FF">
            <w:pPr>
              <w:rPr>
                <w:b/>
              </w:rPr>
            </w:pPr>
            <w:r>
              <w:rPr>
                <w:b/>
              </w:rPr>
              <w:t xml:space="preserve">Định dạng</w:t>
            </w:r>
          </w:p>
        </w:tc>
        <w:tc>
          <w:tcPr/>
          <w:p w14:paraId="00102700" w14:textId="00102701">
            <w:pPr>
              <w:rPr>
                <w:b/>
              </w:rPr>
            </w:pPr>
            <w:r>
              <w:rPr>
                <w:b/>
              </w:rPr>
              <w:t xml:space="preserve">Mục đích kiểm thử</w:t>
            </w:r>
          </w:p>
        </w:tc>
      </w:tr>
      <w:tr>
        <w:tc>
          <w:tcPr/>
          <w:p w14:paraId="00102702" w14:textId="00102703">
            <w:r>
              <w:t xml:space="preserve">Hồ sơ thuyết minh</w:t>
            </w:r>
          </w:p>
        </w:tc>
        <w:tc>
          <w:tcPr/>
          <w:p w14:paraId="00102704" w14:textId="00102705">
            <w:r>
              <w:t xml:space="preserve">DOCX, PDF, Markdown</w:t>
            </w:r>
          </w:p>
        </w:tc>
        <w:tc>
          <w:tcPr/>
          <w:p w14:paraId="00102706" w14:textId="00102707">
            <w:r>
              <w:t xml:space="preserve">Kiểm tra chuyển đổi văn bản, heading và references</w:t>
            </w:r>
          </w:p>
        </w:tc>
      </w:tr>
      <w:tr>
        <w:tc>
          <w:tcPr/>
          <w:p w14:paraId="00102708" w14:textId="00102709">
            <w:r>
              <w:t xml:space="preserve">Hồ sơ biểu mẫu</w:t>
            </w:r>
          </w:p>
        </w:tc>
        <w:tc>
          <w:tcPr/>
          <w:p w14:paraId="0010270A" w14:textId="0010270B">
            <w:r>
              <w:t xml:space="preserve">XLSX</w:t>
            </w:r>
          </w:p>
        </w:tc>
        <w:tc>
          <w:tcPr/>
          <w:p w14:paraId="0010270C" w14:textId="0010270D">
            <w:r>
              <w:t xml:space="preserve">Kiểm tra trích xuất bảng biểu và dữ liệu cấu trúc</w:t>
            </w:r>
          </w:p>
        </w:tc>
      </w:tr>
      <w:tr>
        <w:tc>
          <w:tcPr/>
          <w:p w14:paraId="0010270E" w14:textId="0010270F">
            <w:r>
              <w:t xml:space="preserve">Hồ sơ mô hình</w:t>
            </w:r>
          </w:p>
        </w:tc>
        <w:tc>
          <w:tcPr/>
          <w:p w14:paraId="00102710" w14:textId="00102711">
            <w:r>
              <w:t xml:space="preserve">IFC, ZIP</w:t>
            </w:r>
          </w:p>
        </w:tc>
        <w:tc>
          <w:tcPr/>
          <w:p w14:paraId="00102712" w14:textId="00102713">
            <w:r>
              <w:t xml:space="preserve">Kiểm tra lưu vết tệp đính kèm và metadata</w:t>
            </w:r>
          </w:p>
        </w:tc>
      </w:tr>
    </w:tbl>
    <w:p w14:paraId="0010271E" w14:textId="0010271F">
      <w:pPr>
        <w:pStyle w:val="Normal"/>
        <w:jc w:val="both"/>
      </w:pPr>
      <w:r>
        <w:rPr>
          <w:rFonts w:ascii="Arial" w:hAnsi="Arial" w:eastAsia="Arial"/>
          <w:color w:val="auto" w:themeColor="text1"/>
          <w:sz w:val="20"/>
        </w:rPr>
        <w:t xml:space="preserve">Ghi chú thử nghiệm: Cơ quan tiếp nhận phải kiểm tra tính toàn vẹn của tệp đính kèm và từ chối xử lý nếu phát hiện tệp bị lỗi CRC hoặc sai định dạng khai báo.</w:t>
      </w:r>
    </w:p>
    <w:p w14:paraId="0010271C" w14:textId="0010271D">
      <w:pPr>
        <w:pStyle w:val="Normal"/>
        <w:jc w:val="center"/>
      </w:pPr>
      <w:r>
        <w:rPr>
          <w:rFonts w:ascii="Courier New" w:hAnsi="Courier New" w:eastAsia="Courier New"/>
          <w:b/>
          <w:color w:val="auto" w:themeColor="text1"/>
          <w:sz w:val="20"/>
        </w:rPr>
        <w:t xml:space="preserve">{</w:t>
        <w:br/>
        <w:tab/>
        <w:t xml:space="preserve">"ma_ho_so": "BIM-2024-001",</w:t>
        <w:br/>
        <w:tab/>
        <w:t xml:space="preserve">"tep_dinh_kem": ["thuyet_minh.docx", "mo_hinh.ifc", "phu_luc.xlsx"],</w:t>
        <w:br/>
        <w:tab/>
        <w:t xml:space="preserve">"trang_thai": "tiep_nhan",</w:t>
        <w:br/>
        <w:tab/>
        <w:t xml:space="preserve">"yeu_cau_kiem_tra": ["checksum", "metadata", "dinh_dang"]</w:t>
        <w:br/>
        <w:t xml:space="preserve">}</w:t>
        <w:br/>
      </w:r>
    </w:p>
    <w:p w14:paraId="0010271A" w14:textId="0010271B">
      <w:pPr>
        <w:pStyle w:val="ListParagraph"/>
        <w:numPr>
          <w:ilvl w:val="0"/>
          <w:numId w:val="13"/>
        </w:numPr>
        <w:jc w:val="both"/>
      </w:pPr>
      <w:r>
        <w:rPr>
          <w:rFonts w:ascii="Arial" w:hAnsi="Arial" w:eastAsia="Arial"/>
          <w:color w:val="auto" w:themeColor="text1"/>
          <w:sz w:val="20"/>
        </w:rPr>
        <w:t xml:space="preserve">Phụ lục I: Mẫu văn bản về lập, thẩm định, phê duyệt dự án</w:t>
      </w:r>
    </w:p>
    <w:p w14:paraId="00102718" w14:textId="00102719">
      <w:pPr>
        <w:pStyle w:val="ListParagraph"/>
        <w:numPr>
          <w:ilvl w:val="0"/>
          <w:numId w:val="13"/>
        </w:numPr>
        <w:jc w:val="both"/>
      </w:pPr>
      <w:r>
        <w:rPr>
          <w:rFonts w:ascii="Arial" w:hAnsi="Arial" w:eastAsia="Arial"/>
          <w:color w:val="auto" w:themeColor="text1"/>
          <w:sz w:val="20"/>
        </w:rPr>
        <w:t xml:space="preserve">Phụ lục II: Mẫu văn bản về thẩm định, phê duyệt thiết kế</w:t>
      </w:r>
    </w:p>
    <w:p w14:paraId="00102716" w14:textId="00102717">
      <w:pPr>
        <w:pStyle w:val="ListParagraph"/>
        <w:numPr>
          <w:ilvl w:val="0"/>
          <w:numId w:val="13"/>
        </w:numPr>
        <w:jc w:val="both"/>
      </w:pPr>
      <w:r>
        <w:rPr>
          <w:rFonts w:ascii="Arial" w:hAnsi="Arial" w:eastAsia="Arial"/>
          <w:color w:val="auto" w:themeColor="text1"/>
          <w:sz w:val="20"/>
        </w:rPr>
        <w:t xml:space="preserve">Phụ lục III: Mẫu văn bản về giấy phép hoạt động xây dựng nhà thầu nước ngoài</w:t>
      </w:r>
    </w:p>
    <w:p w14:paraId="00102714" w14:textId="00102715">
      <w:pPr>
        <w:pStyle w:val="ListParagraph"/>
        <w:numPr>
          <w:ilvl w:val="0"/>
          <w:numId w:val="13"/>
        </w:numPr>
        <w:jc w:val="both"/>
      </w:pPr>
      <w:r>
        <w:rPr>
          <w:rFonts w:ascii="Arial" w:hAnsi="Arial" w:eastAsia="Arial"/>
          <w:color w:val="auto" w:themeColor="text1"/>
          <w:sz w:val="20"/>
        </w:rPr>
        <w:t xml:space="preserve">Phụ lục IV-XI: Danh mục các loại công trình và phân loại</w:t>
      </w:r>
    </w:p>
    <w:sectPr w:rsidRPr="00733091" w:rsidR="005016F5" w:rsidSect="008569F5">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24C0" w:rsidP="008569F5" w:rsidRDefault="00E024C0" w14:paraId="00102596" w14:textId="00102597">
      <w:r>
        <w:separator/>
      </w:r>
    </w:p>
  </w:endnote>
  <w:endnote w:type="continuationSeparator" w:id="0">
    <w:p w:rsidR="00E024C0" w:rsidP="008569F5" w:rsidRDefault="00E024C0" w14:paraId="00102598" w14:textId="00102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24C0" w:rsidP="008569F5" w:rsidRDefault="00E024C0" w14:paraId="00102592" w14:textId="00102593">
      <w:r>
        <w:separator/>
      </w:r>
    </w:p>
  </w:footnote>
  <w:footnote w:type="continuationSeparator" w:id="0">
    <w:p w:rsidR="00E024C0" w:rsidP="008569F5" w:rsidRDefault="00E024C0" w14:paraId="00102594" w14:textId="0010259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A457C"/>
    <w:multiLevelType w:val="multilevel"/>
    <w:tmpl w:val="D3167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65515E"/>
    <w:multiLevelType w:val="multilevel"/>
    <w:tmpl w:val="6FEE60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4F7A72"/>
    <w:multiLevelType w:val="multilevel"/>
    <w:tmpl w:val="74B4A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C037AF"/>
    <w:multiLevelType w:val="multilevel"/>
    <w:tmpl w:val="D6E25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4575FC"/>
    <w:multiLevelType w:val="multilevel"/>
    <w:tmpl w:val="3AAE9D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074B18"/>
    <w:multiLevelType w:val="multilevel"/>
    <w:tmpl w:val="4430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693FB1"/>
    <w:multiLevelType w:val="multilevel"/>
    <w:tmpl w:val="316A1F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620C94"/>
    <w:multiLevelType w:val="multilevel"/>
    <w:tmpl w:val="6310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7"/>
  </w:num>
  <w:num w:numId="3">
    <w:abstractNumId w:val="6"/>
  </w:num>
  <w:num w:numId="4">
    <w:abstractNumId w:val="4"/>
  </w:num>
  <w:num w:numId="5">
    <w:abstractNumId w:val="0"/>
  </w:num>
  <w:num w:numId="6">
    <w:abstractNumId w:val="2"/>
  </w:num>
  <w:num w:numId="7">
    <w:abstractNumId w:val="3"/>
  </w:num>
  <w:num w:numId="8">
    <w:abstractNumId w:val="5"/>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9F5"/>
    <w:rsid w:val="000A2E56"/>
    <w:rsid w:val="000B1793"/>
    <w:rsid w:val="001C2BDF"/>
    <w:rsid w:val="001F28AB"/>
    <w:rsid w:val="002351C0"/>
    <w:rsid w:val="0025476F"/>
    <w:rsid w:val="00337176"/>
    <w:rsid w:val="003B7272"/>
    <w:rsid w:val="003D5088"/>
    <w:rsid w:val="003E1C24"/>
    <w:rsid w:val="00426B8D"/>
    <w:rsid w:val="004960E5"/>
    <w:rsid w:val="00497302"/>
    <w:rsid w:val="005016F5"/>
    <w:rsid w:val="005617FD"/>
    <w:rsid w:val="0059558F"/>
    <w:rsid w:val="005B562F"/>
    <w:rsid w:val="005D0434"/>
    <w:rsid w:val="006D040A"/>
    <w:rsid w:val="00716BCE"/>
    <w:rsid w:val="00733091"/>
    <w:rsid w:val="00846D96"/>
    <w:rsid w:val="0085096A"/>
    <w:rsid w:val="008569F5"/>
    <w:rsid w:val="008E3DDC"/>
    <w:rsid w:val="008E44E6"/>
    <w:rsid w:val="00976BBA"/>
    <w:rsid w:val="00B2005B"/>
    <w:rsid w:val="00C15FD9"/>
    <w:rsid w:val="00CC01FA"/>
    <w:rsid w:val="00CC2919"/>
    <w:rsid w:val="00D44F42"/>
    <w:rsid w:val="00E024C0"/>
    <w:rsid w:val="00E71042"/>
    <w:rsid w:val="00EF342C"/>
    <w:rsid w:val="00F13187"/>
    <w:rsid w:val="00F15253"/>
    <w:rsid w:val="00F9336E"/>
    <w:rsid w:val="00FB7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A2ADA6-3F08-484A-B1DD-8E9E83990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33091"/>
  </w:style>
  <w:style w:type="paragraph" w:styleId="Heading2">
    <w:name w:val="heading 2"/>
    <w:basedOn w:val="Normal"/>
    <w:link w:val="Heading2Char"/>
    <w:uiPriority w:val="9"/>
    <w:qFormat/>
    <w:rsid w:val="001C2BDF"/>
    <w:pPr>
      <w:spacing w:before="100" w:beforeAutospacing="1" w:after="100" w:afterAutospacing="1"/>
      <w:outlineLvl w:val="1"/>
    </w:pPr>
    <w:rPr>
      <w:rFonts w:ascii="Times New Roman" w:hAnsi="Times New Roman" w:eastAsia="Times New Roman" w:cs="Times New Roman"/>
      <w:b/>
      <w:bCs/>
      <w:sz w:val="36"/>
      <w:szCs w:val="36"/>
    </w:rPr>
  </w:style>
  <w:style w:type="paragraph" w:styleId="Heading3">
    <w:name w:val="heading 3"/>
    <w:basedOn w:val="Normal"/>
    <w:link w:val="Heading3Char"/>
    <w:uiPriority w:val="9"/>
    <w:qFormat/>
    <w:rsid w:val="001C2BDF"/>
    <w:pPr>
      <w:spacing w:before="100" w:beforeAutospacing="1" w:after="100" w:afterAutospacing="1"/>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569F5"/>
    <w:pPr>
      <w:tabs>
        <w:tab w:val="center" w:pos="4680"/>
        <w:tab w:val="right" w:pos="9360"/>
      </w:tabs>
    </w:pPr>
  </w:style>
  <w:style w:type="character" w:styleId="HeaderChar" w:customStyle="1">
    <w:name w:val="Header Char"/>
    <w:basedOn w:val="DefaultParagraphFont"/>
    <w:link w:val="Header"/>
    <w:uiPriority w:val="99"/>
    <w:rsid w:val="008569F5"/>
  </w:style>
  <w:style w:type="paragraph" w:styleId="Footer">
    <w:name w:val="footer"/>
    <w:basedOn w:val="Normal"/>
    <w:link w:val="FooterChar"/>
    <w:uiPriority w:val="99"/>
    <w:unhideWhenUsed/>
    <w:rsid w:val="008569F5"/>
    <w:pPr>
      <w:tabs>
        <w:tab w:val="center" w:pos="4680"/>
        <w:tab w:val="right" w:pos="9360"/>
      </w:tabs>
    </w:pPr>
  </w:style>
  <w:style w:type="character" w:styleId="FooterChar" w:customStyle="1">
    <w:name w:val="Footer Char"/>
    <w:basedOn w:val="DefaultParagraphFont"/>
    <w:link w:val="Footer"/>
    <w:uiPriority w:val="99"/>
    <w:rsid w:val="008569F5"/>
  </w:style>
  <w:style w:type="character" w:styleId="Heading2Char" w:customStyle="1">
    <w:name w:val="Heading 2 Char"/>
    <w:basedOn w:val="DefaultParagraphFont"/>
    <w:link w:val="Heading2"/>
    <w:uiPriority w:val="9"/>
    <w:rsid w:val="001C2BDF"/>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rsid w:val="001C2BDF"/>
    <w:rPr>
      <w:rFonts w:ascii="Times New Roman" w:hAnsi="Times New Roman" w:eastAsia="Times New Roman" w:cs="Times New Roman"/>
      <w:b/>
      <w:bCs/>
      <w:sz w:val="27"/>
      <w:szCs w:val="27"/>
    </w:rPr>
  </w:style>
  <w:style w:type="paragraph" w:styleId="msonormal0" w:customStyle="1">
    <w:name w:val="msonormal"/>
    <w:basedOn w:val="Normal"/>
    <w:rsid w:val="001C2BDF"/>
    <w:pPr>
      <w:spacing w:before="100" w:beforeAutospacing="1" w:after="100" w:afterAutospacing="1"/>
    </w:pPr>
    <w:rPr>
      <w:rFonts w:ascii="Times New Roman" w:hAnsi="Times New Roman" w:eastAsia="Times New Roman" w:cs="Times New Roman"/>
      <w:sz w:val="24"/>
      <w:szCs w:val="24"/>
    </w:rPr>
  </w:style>
  <w:style w:type="paragraph" w:styleId="NormalWeb">
    <w:name w:val="Normal (Web)"/>
    <w:basedOn w:val="Normal"/>
    <w:uiPriority w:val="99"/>
    <w:semiHidden/>
    <w:unhideWhenUsed/>
    <w:rsid w:val="001C2BDF"/>
    <w:pPr>
      <w:spacing w:before="100" w:beforeAutospacing="1" w:after="100" w:afterAutospacing="1"/>
    </w:pPr>
    <w:rPr>
      <w:rFonts w:ascii="Times New Roman" w:hAnsi="Times New Roman" w:eastAsia="Times New Roman" w:cs="Times New Roman"/>
      <w:sz w:val="24"/>
      <w:szCs w:val="24"/>
    </w:rPr>
  </w:style>
  <w:style w:type="paragraph" w:styleId="font-bold" w:customStyle="1">
    <w:name w:val="font-bold"/>
    <w:basedOn w:val="Normal"/>
    <w:rsid w:val="001C2BDF"/>
    <w:pPr>
      <w:spacing w:before="100" w:beforeAutospacing="1" w:after="100" w:afterAutospacing="1"/>
    </w:pPr>
    <w:rPr>
      <w:rFonts w:ascii="Times New Roman" w:hAnsi="Times New Roman" w:eastAsia="Times New Roman" w:cs="Times New Roman"/>
      <w:sz w:val="24"/>
      <w:szCs w:val="24"/>
    </w:rPr>
  </w:style>
  <w:style w:type="character" w:styleId="Strong">
    <w:name w:val="Strong"/>
    <w:basedOn w:val="DefaultParagraphFont"/>
    <w:uiPriority w:val="22"/>
    <w:qFormat/>
    <w:rsid w:val="001C2BDF"/>
    <w:rPr>
      <w:b/>
      <w:bCs/>
    </w:rPr>
  </w:style>
  <w:style w:type="character" w:styleId="Emphasis">
    <w:name w:val="Emphasis"/>
    <w:basedOn w:val="DefaultParagraphFont"/>
    <w:uiPriority w:val="20"/>
    <w:qFormat/>
    <w:rsid w:val="001C2BDF"/>
    <w:rPr>
      <w:i/>
      <w:iCs/>
    </w:rPr>
  </w:style>
  <w:style w:type="character" w:styleId="Hyperlink">
    <w:name w:val="Hyperlink"/>
    <w:basedOn w:val="DefaultParagraphFont"/>
    <w:uiPriority w:val="99"/>
    <w:unhideWhenUsed/>
    <w:rsid w:val="001C2BDF"/>
    <w:rPr>
      <w:color w:val="0000FF"/>
      <w:u w:val="single"/>
    </w:rPr>
  </w:style>
  <w:style w:type="character" w:styleId="FollowedHyperlink">
    <w:name w:val="FollowedHyperlink"/>
    <w:basedOn w:val="DefaultParagraphFont"/>
    <w:uiPriority w:val="99"/>
    <w:semiHidden/>
    <w:unhideWhenUsed/>
    <w:rsid w:val="001C2BDF"/>
    <w:rPr>
      <w:color w:val="800080"/>
      <w:u w:val="single"/>
    </w:rPr>
  </w:style>
  <w:style w:type="character" w:styleId="sr-only" w:customStyle="1">
    <w:name w:val="sr-only"/>
    <w:basedOn w:val="DefaultParagraphFont"/>
    <w:rsid w:val="001C2BDF"/>
  </w:style>
  <w:style w:type="table" w:styleId="TableGrid">
    <w:name w:val="Table Grid"/>
    <w:basedOn w:val="TableNormal"/>
    <w:uiPriority w:val="39"/>
    <w:rsid w:val="000B179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customStyle="1">
    <w:name w:val="Unresolved Mention"/>
    <w:basedOn w:val="DefaultParagraphFont"/>
    <w:uiPriority w:val="99"/>
    <w:semiHidden/>
    <w:unhideWhenUsed/>
    <w:rsid w:val="000B1793"/>
    <w:rPr>
      <w:color w:val="605E5C"/>
      <w:shd w:val="clear" w:color="auto" w:fill="E1DFDD"/>
    </w:rPr>
  </w:style>
  <w:style w:type="paragraph" w:styleId="ListParagraph">
    <w:name w:val="List Paragraph"/>
    <w:basedOn w:val="Normal"/>
    <w:uiPriority w:val="34"/>
    <w:qFormat/>
    <w:rsid w:val="005016F5"/>
    <w:pPr>
      <w:ind w:left="720"/>
      <w:contextualSpacing/>
    </w:pPr>
  </w:style>
  <w:style w:type="numbering" w:styleId="NoList1" w:customStyle="1">
    <w:name w:val="No List1"/>
    <w:next w:val="NoList"/>
    <w:uiPriority w:val="99"/>
    <w:semiHidden/>
    <w:unhideWhenUsed/>
    <w:rsid w:val="005016F5"/>
  </w:style>
  <w:style w:type="table" w:styleId="TableGrid1" w:customStyle="1">
    <w:name w:val="Table Grid1"/>
    <w:basedOn w:val="TableNormal"/>
    <w:next w:val="TableGrid"/>
    <w:uiPriority w:val="39"/>
    <w:rsid w:val="005016F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Vnbnnidung" w:customStyle="1">
    <w:name w:val="Văn bản nội dung_"/>
    <w:link w:val="Vnbnnidung0"/>
    <w:locked/>
    <w:rsid w:val="005D0434"/>
    <w:rPr>
      <w:sz w:val="28"/>
      <w:szCs w:val="28"/>
    </w:rPr>
  </w:style>
  <w:style w:type="paragraph" w:styleId="Vnbnnidung0" w:customStyle="1">
    <w:name w:val="Văn bản nội dung"/>
    <w:basedOn w:val="Normal"/>
    <w:link w:val="Vnbnnidung"/>
    <w:rsid w:val="005D0434"/>
    <w:pPr>
      <w:widowControl w:val="0"/>
      <w:spacing w:after="80"/>
      <w:ind w:firstLine="400"/>
    </w:pPr>
    <w:rPr>
      <w:sz w:val="28"/>
      <w:szCs w:val="28"/>
    </w:rPr>
  </w:style>
  <w:style w:type="character" w:styleId="Other" w:customStyle="1">
    <w:name w:val="Other_"/>
    <w:link w:val="Other0"/>
    <w:uiPriority w:val="99"/>
    <w:locked/>
    <w:rsid w:val="005D0434"/>
    <w:rPr>
      <w:sz w:val="26"/>
      <w:szCs w:val="26"/>
      <w:shd w:val="clear" w:color="auto" w:fill="FFFFFF"/>
    </w:rPr>
  </w:style>
  <w:style w:type="paragraph" w:styleId="Other0" w:customStyle="1">
    <w:name w:val="Other"/>
    <w:basedOn w:val="Normal"/>
    <w:link w:val="Other"/>
    <w:uiPriority w:val="99"/>
    <w:rsid w:val="005D0434"/>
    <w:pPr>
      <w:widowControl w:val="0"/>
      <w:shd w:val="clear" w:color="auto" w:fill="FFFFFF"/>
      <w:spacing w:after="100" w:line="285" w:lineRule="auto"/>
      <w:ind w:firstLine="400"/>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2143307">
      <w:bodyDiv w:val="1"/>
      <w:marLeft w:val="0"/>
      <w:marRight w:val="0"/>
      <w:marTop w:val="0"/>
      <w:marBottom w:val="0"/>
      <w:divBdr>
        <w:top w:val="none" w:sz="0" w:space="0" w:color="auto"/>
        <w:left w:val="none" w:sz="0" w:space="0" w:color="auto"/>
        <w:bottom w:val="none" w:sz="0" w:space="0" w:color="auto"/>
        <w:right w:val="none" w:sz="0" w:space="0" w:color="auto"/>
      </w:divBdr>
      <w:divsChild>
        <w:div w:id="1749645061">
          <w:marLeft w:val="0"/>
          <w:marRight w:val="0"/>
          <w:marTop w:val="450"/>
          <w:marBottom w:val="0"/>
          <w:divBdr>
            <w:top w:val="none" w:sz="0" w:space="0" w:color="auto"/>
            <w:left w:val="none" w:sz="0" w:space="0" w:color="auto"/>
            <w:bottom w:val="none" w:sz="0" w:space="0" w:color="auto"/>
            <w:right w:val="none" w:sz="0" w:space="0" w:color="auto"/>
          </w:divBdr>
          <w:divsChild>
            <w:div w:id="335689221">
              <w:marLeft w:val="0"/>
              <w:marRight w:val="0"/>
              <w:marTop w:val="0"/>
              <w:marBottom w:val="0"/>
              <w:divBdr>
                <w:top w:val="none" w:sz="0" w:space="0" w:color="auto"/>
                <w:left w:val="none" w:sz="0" w:space="0" w:color="auto"/>
                <w:bottom w:val="none" w:sz="0" w:space="0" w:color="auto"/>
                <w:right w:val="none" w:sz="0" w:space="0" w:color="auto"/>
              </w:divBdr>
            </w:div>
          </w:divsChild>
        </w:div>
        <w:div w:id="834491700">
          <w:marLeft w:val="0"/>
          <w:marRight w:val="0"/>
          <w:marTop w:val="450"/>
          <w:marBottom w:val="0"/>
          <w:divBdr>
            <w:top w:val="none" w:sz="0" w:space="0" w:color="auto"/>
            <w:left w:val="none" w:sz="0" w:space="0" w:color="auto"/>
            <w:bottom w:val="none" w:sz="0" w:space="0" w:color="auto"/>
            <w:right w:val="none" w:sz="0" w:space="0" w:color="auto"/>
          </w:divBdr>
        </w:div>
        <w:div w:id="2055737455">
          <w:marLeft w:val="0"/>
          <w:marRight w:val="0"/>
          <w:marTop w:val="450"/>
          <w:marBottom w:val="0"/>
          <w:divBdr>
            <w:top w:val="none" w:sz="0" w:space="0" w:color="auto"/>
            <w:left w:val="none" w:sz="0" w:space="0" w:color="auto"/>
            <w:bottom w:val="none" w:sz="0" w:space="0" w:color="auto"/>
            <w:right w:val="none" w:sz="0" w:space="0" w:color="auto"/>
          </w:divBdr>
        </w:div>
        <w:div w:id="1997803771">
          <w:marLeft w:val="0"/>
          <w:marRight w:val="0"/>
          <w:marTop w:val="450"/>
          <w:marBottom w:val="0"/>
          <w:divBdr>
            <w:top w:val="none" w:sz="0" w:space="0" w:color="auto"/>
            <w:left w:val="none" w:sz="0" w:space="0" w:color="auto"/>
            <w:bottom w:val="none" w:sz="0" w:space="0" w:color="auto"/>
            <w:right w:val="none" w:sz="0" w:space="0" w:color="auto"/>
          </w:divBdr>
        </w:div>
        <w:div w:id="1905791480">
          <w:marLeft w:val="0"/>
          <w:marRight w:val="0"/>
          <w:marTop w:val="450"/>
          <w:marBottom w:val="0"/>
          <w:divBdr>
            <w:top w:val="none" w:sz="0" w:space="0" w:color="auto"/>
            <w:left w:val="none" w:sz="0" w:space="0" w:color="auto"/>
            <w:bottom w:val="none" w:sz="0" w:space="0" w:color="auto"/>
            <w:right w:val="none" w:sz="0" w:space="0" w:color="auto"/>
          </w:divBdr>
        </w:div>
        <w:div w:id="988286682">
          <w:marLeft w:val="0"/>
          <w:marRight w:val="0"/>
          <w:marTop w:val="450"/>
          <w:marBottom w:val="0"/>
          <w:divBdr>
            <w:top w:val="none" w:sz="0" w:space="0" w:color="auto"/>
            <w:left w:val="none" w:sz="0" w:space="0" w:color="auto"/>
            <w:bottom w:val="none" w:sz="0" w:space="0" w:color="auto"/>
            <w:right w:val="none" w:sz="0" w:space="0" w:color="auto"/>
          </w:divBdr>
        </w:div>
        <w:div w:id="1258560372">
          <w:marLeft w:val="0"/>
          <w:marRight w:val="0"/>
          <w:marTop w:val="450"/>
          <w:marBottom w:val="0"/>
          <w:divBdr>
            <w:top w:val="none" w:sz="0" w:space="0" w:color="auto"/>
            <w:left w:val="none" w:sz="0" w:space="0" w:color="auto"/>
            <w:bottom w:val="none" w:sz="0" w:space="0" w:color="auto"/>
            <w:right w:val="none" w:sz="0" w:space="0" w:color="auto"/>
          </w:divBdr>
        </w:div>
        <w:div w:id="1153330247">
          <w:marLeft w:val="0"/>
          <w:marRight w:val="0"/>
          <w:marTop w:val="450"/>
          <w:marBottom w:val="0"/>
          <w:divBdr>
            <w:top w:val="none" w:sz="0" w:space="0" w:color="auto"/>
            <w:left w:val="none" w:sz="0" w:space="0" w:color="auto"/>
            <w:bottom w:val="none" w:sz="0" w:space="0" w:color="auto"/>
            <w:right w:val="none" w:sz="0" w:space="0" w:color="auto"/>
          </w:divBdr>
        </w:div>
        <w:div w:id="448940987">
          <w:marLeft w:val="0"/>
          <w:marRight w:val="0"/>
          <w:marTop w:val="450"/>
          <w:marBottom w:val="0"/>
          <w:divBdr>
            <w:top w:val="none" w:sz="0" w:space="0" w:color="auto"/>
            <w:left w:val="none" w:sz="0" w:space="0" w:color="auto"/>
            <w:bottom w:val="none" w:sz="0" w:space="0" w:color="auto"/>
            <w:right w:val="none" w:sz="0" w:space="0" w:color="auto"/>
          </w:divBdr>
        </w:div>
        <w:div w:id="1847093176">
          <w:marLeft w:val="0"/>
          <w:marRight w:val="0"/>
          <w:marTop w:val="450"/>
          <w:marBottom w:val="0"/>
          <w:divBdr>
            <w:top w:val="none" w:sz="0" w:space="0" w:color="auto"/>
            <w:left w:val="none" w:sz="0" w:space="0" w:color="auto"/>
            <w:bottom w:val="none" w:sz="0" w:space="0" w:color="auto"/>
            <w:right w:val="none" w:sz="0" w:space="0" w:color="auto"/>
          </w:divBdr>
        </w:div>
        <w:div w:id="517813211">
          <w:marLeft w:val="0"/>
          <w:marRight w:val="0"/>
          <w:marTop w:val="450"/>
          <w:marBottom w:val="0"/>
          <w:divBdr>
            <w:top w:val="none" w:sz="0" w:space="0" w:color="auto"/>
            <w:left w:val="none" w:sz="0" w:space="0" w:color="auto"/>
            <w:bottom w:val="none" w:sz="0" w:space="0" w:color="auto"/>
            <w:right w:val="none" w:sz="0" w:space="0" w:color="auto"/>
          </w:divBdr>
        </w:div>
        <w:div w:id="1694264280">
          <w:marLeft w:val="0"/>
          <w:marRight w:val="0"/>
          <w:marTop w:val="450"/>
          <w:marBottom w:val="0"/>
          <w:divBdr>
            <w:top w:val="none" w:sz="0" w:space="0" w:color="auto"/>
            <w:left w:val="none" w:sz="0" w:space="0" w:color="auto"/>
            <w:bottom w:val="none" w:sz="0" w:space="0" w:color="auto"/>
            <w:right w:val="none" w:sz="0" w:space="0" w:color="auto"/>
          </w:divBdr>
        </w:div>
        <w:div w:id="1590430841">
          <w:marLeft w:val="0"/>
          <w:marRight w:val="0"/>
          <w:marTop w:val="450"/>
          <w:marBottom w:val="0"/>
          <w:divBdr>
            <w:top w:val="none" w:sz="0" w:space="0" w:color="auto"/>
            <w:left w:val="none" w:sz="0" w:space="0" w:color="auto"/>
            <w:bottom w:val="none" w:sz="0" w:space="0" w:color="auto"/>
            <w:right w:val="none" w:sz="0" w:space="0" w:color="auto"/>
          </w:divBdr>
        </w:div>
        <w:div w:id="1994334530">
          <w:marLeft w:val="0"/>
          <w:marRight w:val="0"/>
          <w:marTop w:val="450"/>
          <w:marBottom w:val="0"/>
          <w:divBdr>
            <w:top w:val="none" w:sz="0" w:space="0" w:color="auto"/>
            <w:left w:val="none" w:sz="0" w:space="0" w:color="auto"/>
            <w:bottom w:val="none" w:sz="0" w:space="0" w:color="auto"/>
            <w:right w:val="none" w:sz="0" w:space="0" w:color="auto"/>
          </w:divBdr>
        </w:div>
        <w:div w:id="67002746">
          <w:marLeft w:val="0"/>
          <w:marRight w:val="0"/>
          <w:marTop w:val="450"/>
          <w:marBottom w:val="0"/>
          <w:divBdr>
            <w:top w:val="none" w:sz="0" w:space="0" w:color="auto"/>
            <w:left w:val="none" w:sz="0" w:space="0" w:color="auto"/>
            <w:bottom w:val="none" w:sz="0" w:space="0" w:color="auto"/>
            <w:right w:val="none" w:sz="0" w:space="0" w:color="auto"/>
          </w:divBdr>
        </w:div>
        <w:div w:id="804859246">
          <w:marLeft w:val="0"/>
          <w:marRight w:val="0"/>
          <w:marTop w:val="450"/>
          <w:marBottom w:val="0"/>
          <w:divBdr>
            <w:top w:val="none" w:sz="0" w:space="0" w:color="auto"/>
            <w:left w:val="none" w:sz="0" w:space="0" w:color="auto"/>
            <w:bottom w:val="none" w:sz="0" w:space="0" w:color="auto"/>
            <w:right w:val="none" w:sz="0" w:space="0" w:color="auto"/>
          </w:divBdr>
        </w:div>
        <w:div w:id="1960604897">
          <w:marLeft w:val="0"/>
          <w:marRight w:val="0"/>
          <w:marTop w:val="450"/>
          <w:marBottom w:val="0"/>
          <w:divBdr>
            <w:top w:val="none" w:sz="0" w:space="0" w:color="auto"/>
            <w:left w:val="none" w:sz="0" w:space="0" w:color="auto"/>
            <w:bottom w:val="none" w:sz="0" w:space="0" w:color="auto"/>
            <w:right w:val="none" w:sz="0" w:space="0" w:color="auto"/>
          </w:divBdr>
        </w:div>
        <w:div w:id="403652428">
          <w:marLeft w:val="0"/>
          <w:marRight w:val="0"/>
          <w:marTop w:val="450"/>
          <w:marBottom w:val="0"/>
          <w:divBdr>
            <w:top w:val="none" w:sz="0" w:space="0" w:color="auto"/>
            <w:left w:val="none" w:sz="0" w:space="0" w:color="auto"/>
            <w:bottom w:val="none" w:sz="0" w:space="0" w:color="auto"/>
            <w:right w:val="none" w:sz="0" w:space="0" w:color="auto"/>
          </w:divBdr>
        </w:div>
        <w:div w:id="1506898426">
          <w:marLeft w:val="0"/>
          <w:marRight w:val="0"/>
          <w:marTop w:val="450"/>
          <w:marBottom w:val="0"/>
          <w:divBdr>
            <w:top w:val="none" w:sz="0" w:space="0" w:color="auto"/>
            <w:left w:val="none" w:sz="0" w:space="0" w:color="auto"/>
            <w:bottom w:val="none" w:sz="0" w:space="0" w:color="auto"/>
            <w:right w:val="none" w:sz="0" w:space="0" w:color="auto"/>
          </w:divBdr>
        </w:div>
        <w:div w:id="1082216279">
          <w:marLeft w:val="0"/>
          <w:marRight w:val="0"/>
          <w:marTop w:val="450"/>
          <w:marBottom w:val="0"/>
          <w:divBdr>
            <w:top w:val="none" w:sz="0" w:space="0" w:color="auto"/>
            <w:left w:val="none" w:sz="0" w:space="0" w:color="auto"/>
            <w:bottom w:val="none" w:sz="0" w:space="0" w:color="auto"/>
            <w:right w:val="none" w:sz="0" w:space="0" w:color="auto"/>
          </w:divBdr>
        </w:div>
        <w:div w:id="1312516911">
          <w:marLeft w:val="0"/>
          <w:marRight w:val="0"/>
          <w:marTop w:val="450"/>
          <w:marBottom w:val="0"/>
          <w:divBdr>
            <w:top w:val="none" w:sz="0" w:space="0" w:color="auto"/>
            <w:left w:val="none" w:sz="0" w:space="0" w:color="auto"/>
            <w:bottom w:val="none" w:sz="0" w:space="0" w:color="auto"/>
            <w:right w:val="none" w:sz="0" w:space="0" w:color="auto"/>
          </w:divBdr>
        </w:div>
        <w:div w:id="88164841">
          <w:marLeft w:val="0"/>
          <w:marRight w:val="0"/>
          <w:marTop w:val="450"/>
          <w:marBottom w:val="0"/>
          <w:divBdr>
            <w:top w:val="none" w:sz="0" w:space="0" w:color="auto"/>
            <w:left w:val="none" w:sz="0" w:space="0" w:color="auto"/>
            <w:bottom w:val="none" w:sz="0" w:space="0" w:color="auto"/>
            <w:right w:val="none" w:sz="0" w:space="0" w:color="auto"/>
          </w:divBdr>
        </w:div>
        <w:div w:id="230428444">
          <w:marLeft w:val="0"/>
          <w:marRight w:val="0"/>
          <w:marTop w:val="450"/>
          <w:marBottom w:val="0"/>
          <w:divBdr>
            <w:top w:val="none" w:sz="0" w:space="0" w:color="auto"/>
            <w:left w:val="none" w:sz="0" w:space="0" w:color="auto"/>
            <w:bottom w:val="none" w:sz="0" w:space="0" w:color="auto"/>
            <w:right w:val="none" w:sz="0" w:space="0" w:color="auto"/>
          </w:divBdr>
        </w:div>
        <w:div w:id="916136873">
          <w:marLeft w:val="0"/>
          <w:marRight w:val="0"/>
          <w:marTop w:val="450"/>
          <w:marBottom w:val="0"/>
          <w:divBdr>
            <w:top w:val="none" w:sz="0" w:space="0" w:color="auto"/>
            <w:left w:val="none" w:sz="0" w:space="0" w:color="auto"/>
            <w:bottom w:val="none" w:sz="0" w:space="0" w:color="auto"/>
            <w:right w:val="none" w:sz="0" w:space="0" w:color="auto"/>
          </w:divBdr>
        </w:div>
        <w:div w:id="766731808">
          <w:marLeft w:val="0"/>
          <w:marRight w:val="0"/>
          <w:marTop w:val="450"/>
          <w:marBottom w:val="0"/>
          <w:divBdr>
            <w:top w:val="none" w:sz="0" w:space="0" w:color="auto"/>
            <w:left w:val="none" w:sz="0" w:space="0" w:color="auto"/>
            <w:bottom w:val="none" w:sz="0" w:space="0" w:color="auto"/>
            <w:right w:val="none" w:sz="0" w:space="0" w:color="auto"/>
          </w:divBdr>
        </w:div>
        <w:div w:id="11416207">
          <w:marLeft w:val="0"/>
          <w:marRight w:val="0"/>
          <w:marTop w:val="450"/>
          <w:marBottom w:val="0"/>
          <w:divBdr>
            <w:top w:val="none" w:sz="0" w:space="0" w:color="auto"/>
            <w:left w:val="none" w:sz="0" w:space="0" w:color="auto"/>
            <w:bottom w:val="none" w:sz="0" w:space="0" w:color="auto"/>
            <w:right w:val="none" w:sz="0" w:space="0" w:color="auto"/>
          </w:divBdr>
        </w:div>
        <w:div w:id="1055668126">
          <w:marLeft w:val="0"/>
          <w:marRight w:val="0"/>
          <w:marTop w:val="450"/>
          <w:marBottom w:val="0"/>
          <w:divBdr>
            <w:top w:val="none" w:sz="0" w:space="0" w:color="auto"/>
            <w:left w:val="none" w:sz="0" w:space="0" w:color="auto"/>
            <w:bottom w:val="none" w:sz="0" w:space="0" w:color="auto"/>
            <w:right w:val="none" w:sz="0" w:space="0" w:color="auto"/>
          </w:divBdr>
        </w:div>
        <w:div w:id="1528055795">
          <w:marLeft w:val="0"/>
          <w:marRight w:val="0"/>
          <w:marTop w:val="450"/>
          <w:marBottom w:val="0"/>
          <w:divBdr>
            <w:top w:val="none" w:sz="0" w:space="0" w:color="auto"/>
            <w:left w:val="none" w:sz="0" w:space="0" w:color="auto"/>
            <w:bottom w:val="none" w:sz="0" w:space="0" w:color="auto"/>
            <w:right w:val="none" w:sz="0" w:space="0" w:color="auto"/>
          </w:divBdr>
        </w:div>
        <w:div w:id="788160642">
          <w:marLeft w:val="0"/>
          <w:marRight w:val="0"/>
          <w:marTop w:val="450"/>
          <w:marBottom w:val="0"/>
          <w:divBdr>
            <w:top w:val="none" w:sz="0" w:space="0" w:color="auto"/>
            <w:left w:val="none" w:sz="0" w:space="0" w:color="auto"/>
            <w:bottom w:val="none" w:sz="0" w:space="0" w:color="auto"/>
            <w:right w:val="none" w:sz="0" w:space="0" w:color="auto"/>
          </w:divBdr>
        </w:div>
        <w:div w:id="1126658579">
          <w:marLeft w:val="0"/>
          <w:marRight w:val="0"/>
          <w:marTop w:val="450"/>
          <w:marBottom w:val="0"/>
          <w:divBdr>
            <w:top w:val="none" w:sz="0" w:space="0" w:color="auto"/>
            <w:left w:val="none" w:sz="0" w:space="0" w:color="auto"/>
            <w:bottom w:val="none" w:sz="0" w:space="0" w:color="auto"/>
            <w:right w:val="none" w:sz="0" w:space="0" w:color="auto"/>
          </w:divBdr>
        </w:div>
        <w:div w:id="144205771">
          <w:marLeft w:val="0"/>
          <w:marRight w:val="0"/>
          <w:marTop w:val="450"/>
          <w:marBottom w:val="0"/>
          <w:divBdr>
            <w:top w:val="none" w:sz="0" w:space="0" w:color="auto"/>
            <w:left w:val="none" w:sz="0" w:space="0" w:color="auto"/>
            <w:bottom w:val="none" w:sz="0" w:space="0" w:color="auto"/>
            <w:right w:val="none" w:sz="0" w:space="0" w:color="auto"/>
          </w:divBdr>
        </w:div>
        <w:div w:id="1339115919">
          <w:marLeft w:val="0"/>
          <w:marRight w:val="0"/>
          <w:marTop w:val="450"/>
          <w:marBottom w:val="0"/>
          <w:divBdr>
            <w:top w:val="none" w:sz="0" w:space="0" w:color="auto"/>
            <w:left w:val="none" w:sz="0" w:space="0" w:color="auto"/>
            <w:bottom w:val="none" w:sz="0" w:space="0" w:color="auto"/>
            <w:right w:val="none" w:sz="0" w:space="0" w:color="auto"/>
          </w:divBdr>
        </w:div>
        <w:div w:id="123892974">
          <w:marLeft w:val="0"/>
          <w:marRight w:val="0"/>
          <w:marTop w:val="450"/>
          <w:marBottom w:val="0"/>
          <w:divBdr>
            <w:top w:val="none" w:sz="0" w:space="0" w:color="auto"/>
            <w:left w:val="none" w:sz="0" w:space="0" w:color="auto"/>
            <w:bottom w:val="none" w:sz="0" w:space="0" w:color="auto"/>
            <w:right w:val="none" w:sz="0" w:space="0" w:color="auto"/>
          </w:divBdr>
        </w:div>
        <w:div w:id="1957901859">
          <w:marLeft w:val="0"/>
          <w:marRight w:val="0"/>
          <w:marTop w:val="450"/>
          <w:marBottom w:val="0"/>
          <w:divBdr>
            <w:top w:val="none" w:sz="0" w:space="0" w:color="auto"/>
            <w:left w:val="none" w:sz="0" w:space="0" w:color="auto"/>
            <w:bottom w:val="none" w:sz="0" w:space="0" w:color="auto"/>
            <w:right w:val="none" w:sz="0" w:space="0" w:color="auto"/>
          </w:divBdr>
        </w:div>
        <w:div w:id="1842155263">
          <w:marLeft w:val="0"/>
          <w:marRight w:val="0"/>
          <w:marTop w:val="450"/>
          <w:marBottom w:val="0"/>
          <w:divBdr>
            <w:top w:val="none" w:sz="0" w:space="0" w:color="auto"/>
            <w:left w:val="none" w:sz="0" w:space="0" w:color="auto"/>
            <w:bottom w:val="none" w:sz="0" w:space="0" w:color="auto"/>
            <w:right w:val="none" w:sz="0" w:space="0" w:color="auto"/>
          </w:divBdr>
        </w:div>
        <w:div w:id="1788426398">
          <w:marLeft w:val="0"/>
          <w:marRight w:val="0"/>
          <w:marTop w:val="450"/>
          <w:marBottom w:val="0"/>
          <w:divBdr>
            <w:top w:val="none" w:sz="0" w:space="0" w:color="auto"/>
            <w:left w:val="none" w:sz="0" w:space="0" w:color="auto"/>
            <w:bottom w:val="none" w:sz="0" w:space="0" w:color="auto"/>
            <w:right w:val="none" w:sz="0" w:space="0" w:color="auto"/>
          </w:divBdr>
        </w:div>
        <w:div w:id="658582168">
          <w:marLeft w:val="0"/>
          <w:marRight w:val="0"/>
          <w:marTop w:val="450"/>
          <w:marBottom w:val="0"/>
          <w:divBdr>
            <w:top w:val="none" w:sz="0" w:space="0" w:color="auto"/>
            <w:left w:val="none" w:sz="0" w:space="0" w:color="auto"/>
            <w:bottom w:val="none" w:sz="0" w:space="0" w:color="auto"/>
            <w:right w:val="none" w:sz="0" w:space="0" w:color="auto"/>
          </w:divBdr>
        </w:div>
        <w:div w:id="240137736">
          <w:marLeft w:val="0"/>
          <w:marRight w:val="0"/>
          <w:marTop w:val="450"/>
          <w:marBottom w:val="0"/>
          <w:divBdr>
            <w:top w:val="none" w:sz="0" w:space="0" w:color="auto"/>
            <w:left w:val="none" w:sz="0" w:space="0" w:color="auto"/>
            <w:bottom w:val="none" w:sz="0" w:space="0" w:color="auto"/>
            <w:right w:val="none" w:sz="0" w:space="0" w:color="auto"/>
          </w:divBdr>
        </w:div>
        <w:div w:id="1860240092">
          <w:marLeft w:val="0"/>
          <w:marRight w:val="0"/>
          <w:marTop w:val="450"/>
          <w:marBottom w:val="0"/>
          <w:divBdr>
            <w:top w:val="none" w:sz="0" w:space="0" w:color="auto"/>
            <w:left w:val="none" w:sz="0" w:space="0" w:color="auto"/>
            <w:bottom w:val="none" w:sz="0" w:space="0" w:color="auto"/>
            <w:right w:val="none" w:sz="0" w:space="0" w:color="auto"/>
          </w:divBdr>
        </w:div>
        <w:div w:id="1101992501">
          <w:marLeft w:val="0"/>
          <w:marRight w:val="0"/>
          <w:marTop w:val="450"/>
          <w:marBottom w:val="0"/>
          <w:divBdr>
            <w:top w:val="none" w:sz="0" w:space="0" w:color="auto"/>
            <w:left w:val="none" w:sz="0" w:space="0" w:color="auto"/>
            <w:bottom w:val="none" w:sz="0" w:space="0" w:color="auto"/>
            <w:right w:val="none" w:sz="0" w:space="0" w:color="auto"/>
          </w:divBdr>
        </w:div>
        <w:div w:id="228423071">
          <w:marLeft w:val="0"/>
          <w:marRight w:val="0"/>
          <w:marTop w:val="450"/>
          <w:marBottom w:val="0"/>
          <w:divBdr>
            <w:top w:val="none" w:sz="0" w:space="0" w:color="auto"/>
            <w:left w:val="none" w:sz="0" w:space="0" w:color="auto"/>
            <w:bottom w:val="none" w:sz="0" w:space="0" w:color="auto"/>
            <w:right w:val="none" w:sz="0" w:space="0" w:color="auto"/>
          </w:divBdr>
        </w:div>
        <w:div w:id="2072803835">
          <w:marLeft w:val="0"/>
          <w:marRight w:val="0"/>
          <w:marTop w:val="450"/>
          <w:marBottom w:val="0"/>
          <w:divBdr>
            <w:top w:val="none" w:sz="0" w:space="0" w:color="auto"/>
            <w:left w:val="none" w:sz="0" w:space="0" w:color="auto"/>
            <w:bottom w:val="none" w:sz="0" w:space="0" w:color="auto"/>
            <w:right w:val="none" w:sz="0" w:space="0" w:color="auto"/>
          </w:divBdr>
        </w:div>
        <w:div w:id="1165246247">
          <w:marLeft w:val="0"/>
          <w:marRight w:val="0"/>
          <w:marTop w:val="450"/>
          <w:marBottom w:val="0"/>
          <w:divBdr>
            <w:top w:val="none" w:sz="0" w:space="0" w:color="auto"/>
            <w:left w:val="none" w:sz="0" w:space="0" w:color="auto"/>
            <w:bottom w:val="none" w:sz="0" w:space="0" w:color="auto"/>
            <w:right w:val="none" w:sz="0" w:space="0" w:color="auto"/>
          </w:divBdr>
        </w:div>
        <w:div w:id="273830737">
          <w:marLeft w:val="0"/>
          <w:marRight w:val="0"/>
          <w:marTop w:val="450"/>
          <w:marBottom w:val="0"/>
          <w:divBdr>
            <w:top w:val="none" w:sz="0" w:space="0" w:color="auto"/>
            <w:left w:val="none" w:sz="0" w:space="0" w:color="auto"/>
            <w:bottom w:val="none" w:sz="0" w:space="0" w:color="auto"/>
            <w:right w:val="none" w:sz="0" w:space="0" w:color="auto"/>
          </w:divBdr>
        </w:div>
        <w:div w:id="2033917071">
          <w:marLeft w:val="0"/>
          <w:marRight w:val="0"/>
          <w:marTop w:val="450"/>
          <w:marBottom w:val="0"/>
          <w:divBdr>
            <w:top w:val="none" w:sz="0" w:space="0" w:color="auto"/>
            <w:left w:val="none" w:sz="0" w:space="0" w:color="auto"/>
            <w:bottom w:val="none" w:sz="0" w:space="0" w:color="auto"/>
            <w:right w:val="none" w:sz="0" w:space="0" w:color="auto"/>
          </w:divBdr>
        </w:div>
        <w:div w:id="1085685743">
          <w:marLeft w:val="0"/>
          <w:marRight w:val="0"/>
          <w:marTop w:val="450"/>
          <w:marBottom w:val="0"/>
          <w:divBdr>
            <w:top w:val="none" w:sz="0" w:space="0" w:color="auto"/>
            <w:left w:val="none" w:sz="0" w:space="0" w:color="auto"/>
            <w:bottom w:val="none" w:sz="0" w:space="0" w:color="auto"/>
            <w:right w:val="none" w:sz="0" w:space="0" w:color="auto"/>
          </w:divBdr>
        </w:div>
        <w:div w:id="1379084103">
          <w:marLeft w:val="0"/>
          <w:marRight w:val="0"/>
          <w:marTop w:val="450"/>
          <w:marBottom w:val="0"/>
          <w:divBdr>
            <w:top w:val="none" w:sz="0" w:space="0" w:color="auto"/>
            <w:left w:val="none" w:sz="0" w:space="0" w:color="auto"/>
            <w:bottom w:val="none" w:sz="0" w:space="0" w:color="auto"/>
            <w:right w:val="none" w:sz="0" w:space="0" w:color="auto"/>
          </w:divBdr>
        </w:div>
        <w:div w:id="1148354307">
          <w:marLeft w:val="0"/>
          <w:marRight w:val="0"/>
          <w:marTop w:val="450"/>
          <w:marBottom w:val="0"/>
          <w:divBdr>
            <w:top w:val="none" w:sz="0" w:space="0" w:color="auto"/>
            <w:left w:val="none" w:sz="0" w:space="0" w:color="auto"/>
            <w:bottom w:val="none" w:sz="0" w:space="0" w:color="auto"/>
            <w:right w:val="none" w:sz="0" w:space="0" w:color="auto"/>
          </w:divBdr>
        </w:div>
        <w:div w:id="1035345812">
          <w:marLeft w:val="0"/>
          <w:marRight w:val="0"/>
          <w:marTop w:val="450"/>
          <w:marBottom w:val="0"/>
          <w:divBdr>
            <w:top w:val="none" w:sz="0" w:space="0" w:color="auto"/>
            <w:left w:val="none" w:sz="0" w:space="0" w:color="auto"/>
            <w:bottom w:val="none" w:sz="0" w:space="0" w:color="auto"/>
            <w:right w:val="none" w:sz="0" w:space="0" w:color="auto"/>
          </w:divBdr>
        </w:div>
        <w:div w:id="1539271590">
          <w:marLeft w:val="0"/>
          <w:marRight w:val="0"/>
          <w:marTop w:val="450"/>
          <w:marBottom w:val="0"/>
          <w:divBdr>
            <w:top w:val="none" w:sz="0" w:space="0" w:color="auto"/>
            <w:left w:val="none" w:sz="0" w:space="0" w:color="auto"/>
            <w:bottom w:val="none" w:sz="0" w:space="0" w:color="auto"/>
            <w:right w:val="none" w:sz="0" w:space="0" w:color="auto"/>
          </w:divBdr>
        </w:div>
        <w:div w:id="1327516135">
          <w:marLeft w:val="0"/>
          <w:marRight w:val="0"/>
          <w:marTop w:val="450"/>
          <w:marBottom w:val="0"/>
          <w:divBdr>
            <w:top w:val="none" w:sz="0" w:space="0" w:color="auto"/>
            <w:left w:val="none" w:sz="0" w:space="0" w:color="auto"/>
            <w:bottom w:val="none" w:sz="0" w:space="0" w:color="auto"/>
            <w:right w:val="none" w:sz="0" w:space="0" w:color="auto"/>
          </w:divBdr>
        </w:div>
        <w:div w:id="1668316883">
          <w:marLeft w:val="0"/>
          <w:marRight w:val="0"/>
          <w:marTop w:val="450"/>
          <w:marBottom w:val="0"/>
          <w:divBdr>
            <w:top w:val="none" w:sz="0" w:space="0" w:color="auto"/>
            <w:left w:val="none" w:sz="0" w:space="0" w:color="auto"/>
            <w:bottom w:val="none" w:sz="0" w:space="0" w:color="auto"/>
            <w:right w:val="none" w:sz="0" w:space="0" w:color="auto"/>
          </w:divBdr>
        </w:div>
        <w:div w:id="1950310954">
          <w:marLeft w:val="0"/>
          <w:marRight w:val="0"/>
          <w:marTop w:val="450"/>
          <w:marBottom w:val="0"/>
          <w:divBdr>
            <w:top w:val="none" w:sz="0" w:space="0" w:color="auto"/>
            <w:left w:val="none" w:sz="0" w:space="0" w:color="auto"/>
            <w:bottom w:val="none" w:sz="0" w:space="0" w:color="auto"/>
            <w:right w:val="none" w:sz="0" w:space="0" w:color="auto"/>
          </w:divBdr>
        </w:div>
        <w:div w:id="63836823">
          <w:marLeft w:val="0"/>
          <w:marRight w:val="0"/>
          <w:marTop w:val="450"/>
          <w:marBottom w:val="0"/>
          <w:divBdr>
            <w:top w:val="none" w:sz="0" w:space="0" w:color="auto"/>
            <w:left w:val="none" w:sz="0" w:space="0" w:color="auto"/>
            <w:bottom w:val="none" w:sz="0" w:space="0" w:color="auto"/>
            <w:right w:val="none" w:sz="0" w:space="0" w:color="auto"/>
          </w:divBdr>
        </w:div>
        <w:div w:id="530455187">
          <w:marLeft w:val="0"/>
          <w:marRight w:val="0"/>
          <w:marTop w:val="450"/>
          <w:marBottom w:val="0"/>
          <w:divBdr>
            <w:top w:val="none" w:sz="0" w:space="0" w:color="auto"/>
            <w:left w:val="none" w:sz="0" w:space="0" w:color="auto"/>
            <w:bottom w:val="none" w:sz="0" w:space="0" w:color="auto"/>
            <w:right w:val="none" w:sz="0" w:space="0" w:color="auto"/>
          </w:divBdr>
        </w:div>
        <w:div w:id="1768622251">
          <w:marLeft w:val="0"/>
          <w:marRight w:val="0"/>
          <w:marTop w:val="450"/>
          <w:marBottom w:val="0"/>
          <w:divBdr>
            <w:top w:val="none" w:sz="0" w:space="0" w:color="auto"/>
            <w:left w:val="none" w:sz="0" w:space="0" w:color="auto"/>
            <w:bottom w:val="none" w:sz="0" w:space="0" w:color="auto"/>
            <w:right w:val="none" w:sz="0" w:space="0" w:color="auto"/>
          </w:divBdr>
        </w:div>
        <w:div w:id="2060088811">
          <w:marLeft w:val="0"/>
          <w:marRight w:val="0"/>
          <w:marTop w:val="450"/>
          <w:marBottom w:val="0"/>
          <w:divBdr>
            <w:top w:val="none" w:sz="0" w:space="0" w:color="auto"/>
            <w:left w:val="none" w:sz="0" w:space="0" w:color="auto"/>
            <w:bottom w:val="none" w:sz="0" w:space="0" w:color="auto"/>
            <w:right w:val="none" w:sz="0" w:space="0" w:color="auto"/>
          </w:divBdr>
        </w:div>
        <w:div w:id="1233394861">
          <w:marLeft w:val="0"/>
          <w:marRight w:val="0"/>
          <w:marTop w:val="450"/>
          <w:marBottom w:val="0"/>
          <w:divBdr>
            <w:top w:val="none" w:sz="0" w:space="0" w:color="auto"/>
            <w:left w:val="none" w:sz="0" w:space="0" w:color="auto"/>
            <w:bottom w:val="none" w:sz="0" w:space="0" w:color="auto"/>
            <w:right w:val="none" w:sz="0" w:space="0" w:color="auto"/>
          </w:divBdr>
        </w:div>
        <w:div w:id="1151362131">
          <w:marLeft w:val="0"/>
          <w:marRight w:val="0"/>
          <w:marTop w:val="450"/>
          <w:marBottom w:val="0"/>
          <w:divBdr>
            <w:top w:val="none" w:sz="0" w:space="0" w:color="auto"/>
            <w:left w:val="none" w:sz="0" w:space="0" w:color="auto"/>
            <w:bottom w:val="none" w:sz="0" w:space="0" w:color="auto"/>
            <w:right w:val="none" w:sz="0" w:space="0" w:color="auto"/>
          </w:divBdr>
        </w:div>
        <w:div w:id="1707486245">
          <w:marLeft w:val="0"/>
          <w:marRight w:val="0"/>
          <w:marTop w:val="450"/>
          <w:marBottom w:val="0"/>
          <w:divBdr>
            <w:top w:val="none" w:sz="0" w:space="0" w:color="auto"/>
            <w:left w:val="none" w:sz="0" w:space="0" w:color="auto"/>
            <w:bottom w:val="none" w:sz="0" w:space="0" w:color="auto"/>
            <w:right w:val="none" w:sz="0" w:space="0" w:color="auto"/>
          </w:divBdr>
        </w:div>
        <w:div w:id="1363482097">
          <w:marLeft w:val="0"/>
          <w:marRight w:val="0"/>
          <w:marTop w:val="450"/>
          <w:marBottom w:val="0"/>
          <w:divBdr>
            <w:top w:val="none" w:sz="0" w:space="0" w:color="auto"/>
            <w:left w:val="none" w:sz="0" w:space="0" w:color="auto"/>
            <w:bottom w:val="none" w:sz="0" w:space="0" w:color="auto"/>
            <w:right w:val="none" w:sz="0" w:space="0" w:color="auto"/>
          </w:divBdr>
          <w:divsChild>
            <w:div w:id="584730044">
              <w:marLeft w:val="0"/>
              <w:marRight w:val="0"/>
              <w:marTop w:val="0"/>
              <w:marBottom w:val="0"/>
              <w:divBdr>
                <w:top w:val="none" w:sz="0" w:space="0" w:color="auto"/>
                <w:left w:val="none" w:sz="0" w:space="0" w:color="auto"/>
                <w:bottom w:val="none" w:sz="0" w:space="0" w:color="auto"/>
                <w:right w:val="none" w:sz="0" w:space="0" w:color="auto"/>
              </w:divBdr>
            </w:div>
          </w:divsChild>
        </w:div>
        <w:div w:id="1367559378">
          <w:marLeft w:val="0"/>
          <w:marRight w:val="0"/>
          <w:marTop w:val="450"/>
          <w:marBottom w:val="0"/>
          <w:divBdr>
            <w:top w:val="none" w:sz="0" w:space="0" w:color="auto"/>
            <w:left w:val="none" w:sz="0" w:space="0" w:color="auto"/>
            <w:bottom w:val="none" w:sz="0" w:space="0" w:color="auto"/>
            <w:right w:val="none" w:sz="0" w:space="0" w:color="auto"/>
          </w:divBdr>
          <w:divsChild>
            <w:div w:id="100278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177</Pages>
  <Words>69328</Words>
  <Characters>395175</Characters>
  <Application>Microsoft Office Word</Application>
  <DocSecurity>0</DocSecurity>
  <Lines>3293</Lines>
  <Paragraphs>927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41</cp:revision>
  <dcterms:created xsi:type="dcterms:W3CDTF">2024-12-31T08:32:00Z</dcterms:created>
  <dcterms:modified xsi:type="dcterms:W3CDTF">2024-12-31T08:50:00Z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1.0.102</vt:lpwstr>
  </op:property>
  <op:property fmtid="{D5CDD505-2E9C-101B-9397-08002B2CF9AE}" pid="3" name="OfficeCLI.LastModified">
    <vt:lpwstr xmlns:vt="http://schemas.openxmlformats.org/officeDocument/2006/docPropsVTypes">2026-05-31T16:45:44Z</vt:lpwstr>
  </op:property>
</op:Properties>
</file>