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b34016df66c14245" /><Relationship Type="http://schemas.openxmlformats.org/package/2006/relationships/metadata/core-properties" Target="/docProps/core.xml" Id="Reb072922f2384095" /><Relationship Type="http://schemas.openxmlformats.org/officeDocument/2006/relationships/extended-properties" Target="/docProps/app.xml" Id="Ra07ec94f4322463a" /><Relationship Type="http://schemas.openxmlformats.org/officeDocument/2006/relationships/custom-properties" Target="/docProps/custom.xml" Id="R61c67dd877ca41d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 1"/>
        <w:spacing w:before="120" w:line="360" w:lineRule="auto"/>
        <w:jc w:val="center"/>
      </w:pPr>
      <w:r>
        <w:rPr>
          <w:b/>
          <w:sz w:val="28"/>
        </w:rPr>
        <w:t xml:space="preserve">GIỚI THIỆU</w:t>
      </w:r>
    </w:p>
    <w:p w14:paraId="00100002" w14:textId="00100003">
      <w:pPr>
        <w:spacing w:before="80" w:line="360" w:lineRule="auto"/>
        <w:ind w:firstLine="567"/>
        <w:jc w:val="both"/>
      </w:pPr>
      <w:r>
        <w:rPr>
          <w:rFonts w:ascii="Times New Roman" w:hAnsi="Times New Roman" w:eastAsia="Times New Roman"/>
          <w:sz w:val="28"/>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được tối ưu hóa để vận hành trực tiếp trên thiết bị đầu cuối.</w:t>
      </w:r>
    </w:p>
    <w:p w14:paraId="00100004" w14:textId="00100005">
      <w:pPr>
        <w:spacing w:before="120" w:line="360" w:lineRule="auto"/>
        <w:jc w:val="center"/>
      </w:pPr>
      <w:r>
        <w:rPr>
          <w:rFonts w:ascii="Times New Roman" w:hAnsi="Times New Roman" w:eastAsia="Times New Roman"/>
          <w:b/>
          <w:sz w:val="28"/>
        </w:rPr>
        <w:t xml:space="preserve">CHƯƠNG 2. ỨNG DỤNG VÀ ĐỊNH HƯỚNG PHÁT TRIỂN AI</w:t>
      </w:r>
    </w:p>
    <w:p w14:paraId="00100006" w14:textId="00100007">
      <w:pPr>
        <w:keepNext/>
        <w:spacing w:before="120" w:line="360" w:lineRule="auto"/>
        <w:jc w:val="both"/>
      </w:pPr>
      <w:r>
        <w:rPr>
          <w:rFonts w:ascii="Times New Roman" w:hAnsi="Times New Roman" w:eastAsia="Times New Roman"/>
          <w:b/>
          <w:sz w:val="28"/>
        </w:rPr>
        <w:t xml:space="preserve">Tối ưu hóa hiệu năng và trí tuệ nhân tạo trên thiết bị biên</w:t>
      </w:r>
    </w:p>
    <w:p w14:paraId="00100008" w14:textId="00100009">
      <w:pPr>
        <w:widowControl w:val="false"/>
        <w:spacing w:before="80" w:line="360" w:lineRule="auto"/>
        <w:ind w:firstLine="567"/>
        <w:jc w:val="both"/>
      </w:pPr>
      <w:r>
        <w:rPr>
          <w:rFonts w:ascii="Times New Roman" w:hAnsi="Times New Roman" w:eastAsia="Times New Roman"/>
          <w:sz w:val="28"/>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w:t>
      </w:r>
    </w:p>
    <w:p w14:paraId="0010000A" w14:textId="0010000B">
      <w:pPr>
        <w:widowControl w:val="false"/>
        <w:spacing w:before="80" w:line="360" w:lineRule="auto"/>
        <w:ind w:firstLine="567"/>
        <w:jc w:val="both"/>
      </w:pPr>
      <w:r>
        <w:rPr>
          <w:rFonts w:ascii="Times New Roman" w:hAnsi="Times New Roman" w:eastAsia="Times New Roman"/>
          <w:sz w:val="28"/>
        </w:rPr>
        <w:t xml:space="preserve">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0010000C" w14:textId="0010000D">
      <w:pPr>
        <w:widowControl w:val="false"/>
        <w:spacing w:before="80" w:line="360" w:lineRule="auto"/>
        <w:ind w:firstLine="567"/>
        <w:jc w:val="both"/>
      </w:pPr>
      <w:r>
        <w:rPr>
          <w:rFonts w:ascii="Times New Roman" w:hAnsi="Times New Roman" w:eastAsia="Times New Roman"/>
          <w:sz w:val="28"/>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w:t>
      </w:r>
    </w:p>
    <w:p w14:paraId="0010000E" w14:textId="0010000F">
      <w:pPr>
        <w:widowControl w:val="false"/>
        <w:spacing w:before="80" w:line="360" w:lineRule="auto"/>
        <w:ind w:firstLine="567"/>
        <w:jc w:val="both"/>
      </w:pPr>
      <w:r>
        <w:rPr>
          <w:rFonts w:ascii="Times New Roman" w:hAnsi="Times New Roman" w:eastAsia="Times New Roman"/>
          <w:sz w:val="28"/>
        </w:rPr>
        <w:t xml:space="preserve">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w:t>
      </w:r>
    </w:p>
    <w:p w14:paraId="00100010" w14:textId="00100011">
      <w:pPr>
        <w:widowControl w:val="false"/>
        <w:spacing w:before="80" w:line="360" w:lineRule="auto"/>
        <w:ind w:firstLine="567"/>
        <w:jc w:val="both"/>
      </w:pPr>
      <w:r>
        <w:rPr>
          <w:rFonts w:ascii="Times New Roman" w:hAnsi="Times New Roman" w:eastAsia="Times New Roman"/>
          <w:sz w:val="28"/>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Nghiên cứu SLMQuant được Wang và cộng sự công bố tại ACM RichMediaGAI 2025 đã thực hiện đánh giá toàn diện về hiệu năng lượng tử hóa, với kết quả cho thấy kiến trúc lượng tử hóa W8A8 có thể bảo toàn độ chính xác với độ sụt giảm dưới 0,5 phần trăm so với phiên bản FP16 gốc trong khi giảm bộ nhớ xuống bốn lần [10].</w:t>
      </w:r>
    </w:p>
    <w:p w14:paraId="00100012" w14:textId="00100013">
      <w:pPr>
        <w:widowControl w:val="false"/>
        <w:spacing w:before="80" w:line="360" w:lineRule="auto"/>
        <w:ind w:firstLine="567"/>
        <w:jc w:val="both"/>
      </w:pPr>
      <w:r>
        <w:rPr>
          <w:rFonts w:ascii="Times New Roman" w:hAnsi="Times New Roman" w:eastAsia="Times New Roman"/>
          <w:sz w:val="28"/>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giúp duy trì 90 phần trăm độ chính xác gốc khi tỉa 30 đến 40 phần trăm tham số mà không cần finetuning lại từ đầu. Khi kết hợp với Mixed Precision, Pruning có thể đạt được hiệu quả nén vượt trội so với việc áp dụng đơn lẻ.</w:t>
      </w:r>
    </w:p>
    <w:p w14:paraId="00100014" w14:textId="00100015">
      <w:pPr>
        <w:widowControl w:val="false"/>
        <w:spacing w:before="80" w:line="360" w:lineRule="auto"/>
        <w:ind w:firstLine="567"/>
        <w:jc w:val="both"/>
      </w:pPr>
      <w:r>
        <w:rPr>
          <w:rFonts w:ascii="Times New Roman" w:hAnsi="Times New Roman" w:eastAsia="Times New Roman"/>
          <w:sz w:val="28"/>
        </w:rPr>
        <w:t xml:space="preserve">Các công cụ triển khai hiện đại đóng vai trò then chốt trong việc chuyển hóa lý thuyết sang thực tiễn. Google AI Edge (Google LiteRT) cung cấp bộ công cụ full-stack từ tối ưu hóa mô hình trước khi biên dịch thông qua TensorFlow Lite Converter cho đến suy luận thời gian thực trên chip TPU và ARM Cortex. Apple Core ML tạo thành nền tảng chạy mô hình trí tuệ nhân tạo trong hệ sinh thái iOS và macOS, tự động lựa chọn giữa CPU, GPU và Neural Engine. ONNX Runtime đóng vai trò như lớp trừu tượng hóa đa nền tảng cho phép một mô hình đã chuyển đổi chạy trên bất kỳ hệ điều hành hoặc phần cứng nào được hỗ trợ.</w:t>
      </w:r>
    </w:p>
    <w:p w14:paraId="00100016" w14:textId="00100017">
      <w:pPr>
        <w:widowControl w:val="false"/>
        <w:spacing w:before="80" w:line="360" w:lineRule="auto"/>
        <w:ind w:firstLine="567"/>
        <w:jc w:val="both"/>
      </w:pPr>
      <w:r>
        <w:rPr>
          <w:rFonts w:ascii="Times New Roman" w:hAnsi="Times New Roman" w:eastAsia="Times New Roman"/>
          <w:sz w:val="28"/>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w:t>
      </w:r>
    </w:p>
    <w:p w14:paraId="00100018" w14:textId="00100019">
      <w:pPr>
        <w:widowControl w:val="false"/>
        <w:spacing w:before="80" w:line="360" w:lineRule="auto"/>
        <w:ind w:firstLine="567"/>
        <w:jc w:val="both"/>
      </w:pPr>
      <w:r>
        <w:rPr>
          <w:rFonts w:ascii="Times New Roman" w:hAnsi="Times New Roman" w:eastAsia="Times New Roman"/>
          <w:sz w:val="28"/>
        </w:rPr>
        <w:t xml:space="preserve">Thị trường Small Language Model đang trải qua giai đoạn tăng trưởng nóng với quy mô dự kiến từ mức 0,33 tỷ USD vào năm 2025 lên 5,45 tỷ USD vào năm 2032, theo báo cáo của Zylos Research [13]. Xu hướng này được thúc đẩy bởi sự tiến hóa của kiến trúc mô hình: Microsoft Research công bố nghiên cứu về kiến trúc Encoder-Decoder cho Small Language Model, trong đó bộ mã hóa trích xuất đặc trưng ngữ nghĩa còn bộ giải mã thực hiện sinh văn bản theo cơ chế cross-attention,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w:t>
      </w:r>
    </w:p>
    <w:p w14:paraId="0010001A" w14:textId="0010001B">
      <w:pPr>
        <w:widowControl w:val="false"/>
        <w:spacing w:before="80" w:line="360" w:lineRule="auto"/>
        <w:ind w:firstLine="567"/>
        <w:jc w:val="both"/>
      </w:pPr>
      <w:r>
        <w:rPr>
          <w:rFonts w:ascii="Times New Roman" w:hAnsi="Times New Roman" w:eastAsia="Times New Roman"/>
          <w:sz w:val="28"/>
        </w:rPr>
        <w:t xml:space="preserve">Thách thức lớn nhất vẫn nằm ở việc cân bằng giữa kích thước mô hình và độ chính xác thực tế, đặc biệt khi đối mặt với các tác vụ đòi hỏi suy luận đa bước phức tạp. Khi giảm tham số xuống mức rất thấp, cụ thể dưới năm trăm triệu, Small Language Model thường thể hiện suy giảm đáng kể về khả năng biểu đạt ngữ nghĩa. Ngoài ra, việc tối ưu hóa cho phần cứng cụ thể yêu cầu chuyên môn kỹ thuật sâu mà không phải mọi nhà phát triển đều sở hữu. Vấn đề thứ ba là sự thiếu hụt dataset huấn luyện đặc thù cho thiết bị biên [13]. Trong tương lai gần, hướng nghiên cứu tập trung vào tự động hóa quá trình tối ưu hóa mô hình (AutoML for SLM) và phát triển các kiến trúc mới như Mixture-of-Embedders [13].</w:t>
      </w:r>
    </w:p>
    <w:p w14:paraId="0010001C" w14:textId="0010001D">
      <w:pPr>
        <w:keepNext/>
        <w:spacing w:before="120" w:line="360" w:lineRule="auto"/>
        <w:jc w:val="both"/>
      </w:pPr>
      <w:r>
        <w:rPr>
          <w:rFonts w:ascii="Times New Roman" w:hAnsi="Times New Roman" w:eastAsia="Times New Roman"/>
          <w:b/>
          <w:sz w:val="28"/>
        </w:rPr>
        <w:t xml:space="preserve">Retrieval-Augmented Generation, quản lý tri thức và trách nhiệm AI</w:t>
      </w:r>
    </w:p>
    <w:p w14:paraId="0010001E" w14:textId="0010001F">
      <w:pPr>
        <w:widowControl w:val="false"/>
        <w:spacing w:before="80" w:line="360" w:lineRule="auto"/>
        <w:ind w:firstLine="567"/>
        <w:jc w:val="both"/>
      </w:pPr>
      <w:r>
        <w:rPr>
          <w:rFonts w:ascii="Times New Roman" w:hAnsi="Times New Roman" w:eastAsia="Times New Roman"/>
          <w:sz w:val="28"/>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[3].</w:t>
      </w:r>
    </w:p>
    <w:p w14:paraId="00100020" w14:textId="00100021">
      <w:pPr>
        <w:widowControl w:val="false"/>
        <w:spacing w:before="80" w:line="360" w:lineRule="auto"/>
        <w:ind w:firstLine="567"/>
        <w:jc w:val="both"/>
      </w:pPr>
      <w:r>
        <w:rPr>
          <w:rFonts w:ascii="Times New Roman" w:hAnsi="Times New Roman" w:eastAsia="Times New Roman"/>
          <w:sz w:val="28"/>
        </w:rPr>
        <w:t xml:space="preserve">Retrieval-Augmented Generation hay tăng cường sinh văn bản từ truy xuất đã trở thành một trong những kiến trúc then chốt để giải quyết vấn đề hallucination -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thứ hai là Context preparation tổng hợp kết quả truy xuất thành ngữ cảnh có cấu trúc, và cuối cùng là Generation module sử dụng mô hình ngôn ngữ kết hợp cả câu hỏi ban đầu lẫn ngữ cảnh được chèn vào để sinh phản hồi có căn cứ tài liệu cụ thể [3].</w:t>
      </w:r>
    </w:p>
    <w:p w14:paraId="00100022" w14:textId="00100023">
      <w:pPr>
        <w:widowControl w:val="false"/>
        <w:spacing w:before="80" w:line="360" w:lineRule="auto"/>
        <w:ind w:firstLine="567"/>
        <w:jc w:val="both"/>
      </w:pPr>
      <w:r>
        <w:rPr>
          <w:rFonts w:ascii="Times New Roman" w:hAnsi="Times New Roman" w:eastAsia="Times New Roman"/>
          <w:sz w:val="28"/>
        </w:rPr>
        <w:t xml:space="preserve">Các cải tiến mới nhất của RAG vượt xa mô hình cơ bản ban đầu theo nhiều hướng nghiên cứu song song. Hybrid Retrieval kết hợp BM25 dựa trên tần suất xuất hiện từ khóa truyền thống và Vector Search dựa trên độ tương đồng ngữ nghĩa embedding, qua đó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[3].</w:t>
      </w:r>
    </w:p>
    <w:p w14:paraId="00100024" w14:textId="00100025">
      <w:pPr>
        <w:widowControl w:val="false"/>
        <w:spacing w:before="80" w:line="360" w:lineRule="auto"/>
        <w:ind w:firstLine="567"/>
        <w:jc w:val="both"/>
      </w:pPr>
      <w:r>
        <w:rPr>
          <w:rFonts w:ascii="Times New Roman" w:hAnsi="Times New Roman" w:eastAsia="Times New Roman"/>
          <w:sz w:val="28"/>
        </w:rPr>
        <w:t xml:space="preserve">Agentic RAG đại diện cho bước tiến tự động hóa cao nhất, trong đó agent AI tự động điều chỉnh chiến lược truy xuất dựa trên phản hồi tức thời.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[8]. On-device RAG mở rộng khả năng của mô hình ra ngoài môi trường điện toán đám mây, cho phép toàn bộ quá trình truy xuất và sinh văn bản diễn ra cục bộ trên thiết bị người dùng mà không cần kết nối mạng.</w:t>
      </w:r>
    </w:p>
    <w:p w14:paraId="00100026" w14:textId="00100027">
      <w:pPr>
        <w:widowControl w:val="false"/>
        <w:spacing w:before="80" w:line="360" w:lineRule="auto"/>
        <w:ind w:firstLine="567"/>
        <w:jc w:val="both"/>
      </w:pPr>
      <w:r>
        <w:rPr>
          <w:rFonts w:ascii="Times New Roman" w:hAnsi="Times New Roman" w:eastAsia="Times New Roman"/>
          <w:sz w:val="28"/>
        </w:rPr>
        <w:t xml:space="preserve">Case study thực tế tại NVIDIA cho thấy việc triển khai RAG trong lĩnh vực chăm sóc sức khỏe giúp bác sĩ truy xuất nhanh chóng hồ sơ bệnh án điện tử và tài liệu y văn mới nhất,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cho thấy thời gian soạn báo cáo giảm 70 phần trăm so với phương pháp thủ công truyền thống [3].</w:t>
      </w:r>
    </w:p>
    <w:p w14:paraId="00100028" w14:textId="00100029">
      <w:pPr>
        <w:widowControl w:val="false"/>
        <w:spacing w:before="80" w:line="360" w:lineRule="auto"/>
        <w:ind w:firstLine="567"/>
        <w:jc w:val="both"/>
      </w:pPr>
      <w:r>
        <w:rPr>
          <w:rFonts w:ascii="Times New Roman" w:hAnsi="Times New Roman" w:eastAsia="Times New Roman"/>
          <w:sz w:val="28"/>
        </w:rPr>
        <w:t xml:space="preserve">Trách nhiệm trí tuệ nhân tạo và quản trị (Responsible AI and Governance) đã trở thành yêu cầu bắt buộc khi hệ thống trí tuệ nhân tạo thâm nhập sâu vào mọi khía cạnh đời sống xã hội. Liên minh Châu Âu thông qua EU AI Act, phân loại các ứng dụng theo bốn mức rủi ro: không thể chấp nhận được, rủi ro rất cao, rủi ro cao, cùng với nhóm rủi ro tối thiểu hoặc không bị hạn chế. Tại Việt Nam, Luật An ninh mạng và Nghị định 13/2023/NĐ-CP hướng dẫn quản lý hoạt động trí tuệ nhân tạo đang dần hoàn thiện khung pháp lý đặc thù [11].</w:t>
      </w:r>
    </w:p>
    <w:p w14:paraId="0010002A" w14:textId="0010002B">
      <w:pPr>
        <w:widowControl w:val="false"/>
        <w:spacing w:before="80" w:line="360" w:lineRule="auto"/>
        <w:ind w:firstLine="567"/>
        <w:jc w:val="both"/>
      </w:pPr>
      <w:r>
        <w:rPr>
          <w:rFonts w:ascii="Times New Roman" w:hAnsi="Times New Roman" w:eastAsia="Times New Roman"/>
          <w:sz w:val="28"/>
        </w:rPr>
        <w:t xml:space="preserve">OECD đã ban hành OECD Due Diligence Guidance for Responsible AI với sáu bước thực hiện cụ thể: thiết lập khung quản trị, tích hợp nguyên tắc RAI vào vòng đời sản phẩm, đánh giá rủi ro tiềm ẩn, giảm thiểu rủi ro thông qua kiểm thử liên tục, thiết lập cơ chế giải trình và báo cáo minh bạch, và xây dựng văn hóa tổ chức tôn trọng các giá trị đạo đức AI [11]. Thực tiễn doanh nghiệp cho thấy khoảng cách đáng kể giữa cam kết về trách nhiệm xã hội và năng lực thực thi kỹ thuật - tám mươi lăm phần trăm các công ty lớn đã triển khai chương trình Responsible AI ở mức độ nào đó, nhưng chỉ hai mươi lăm phần trăm sở hữu khung trưởng mature [12].</w:t>
      </w:r>
    </w:p>
    <w:p w14:paraId="0010002C" w14:textId="0010002D">
      <w:pPr>
        <w:widowControl w:val="false"/>
        <w:spacing w:before="80" w:line="360" w:lineRule="auto"/>
        <w:ind w:firstLine="567"/>
        <w:jc w:val="both"/>
      </w:pPr>
      <w:r>
        <w:rPr>
          <w:rFonts w:ascii="Times New Roman" w:hAnsi="Times New Roman" w:eastAsia="Times New Roman"/>
          <w:sz w:val="28"/>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w:t>
      </w:r>
    </w:p>
    <w:p w14:paraId="0010002E" w14:textId="0010002F">
      <w:pPr>
        <w:widowControl w:val="false"/>
        <w:spacing w:before="80" w:line="360" w:lineRule="auto"/>
        <w:ind w:firstLine="567"/>
        <w:jc w:val="both"/>
      </w:pPr>
      <w:r>
        <w:rPr>
          <w:rFonts w:ascii="Times New Roman" w:hAnsi="Times New Roman" w:eastAsia="Times New Roman"/>
          <w:sz w:val="28"/>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[3].</w:t>
      </w:r>
    </w:p>
    <w:p w14:paraId="00100030" w14:textId="00100031">
      <w:pPr>
        <w:widowControl w:val="false"/>
        <w:spacing w:before="80" w:line="360" w:lineRule="auto"/>
        <w:ind w:firstLine="567"/>
        <w:jc w:val="both"/>
      </w:pPr>
      <w:r>
        <w:rPr>
          <w:rFonts w:ascii="Times New Roman" w:hAnsi="Times New Roman" w:eastAsia="Times New Roman"/>
          <w:sz w:val="28"/>
        </w:rPr>
        <w:t xml:space="preserve">Sự kết hợp hài hòa giữa Edge AI và RAG có trách nhiệm sẽ định hình lại cách doanh nghiệp và cá nhân tương tác với trí tuệ nhân tạo trong những năm tới, khi hiệu suất cao đi đôi với minh bạch và an toàn.</w:t>
      </w:r>
    </w:p>
    <w:p w14:paraId="00100032" w14:textId="00100033">
      <w:pPr>
        <w:spacing w:before="120" w:line="360" w:lineRule="auto"/>
        <w:jc w:val="center"/>
      </w:pPr>
      <w:r>
        <w:rPr>
          <w:rFonts w:ascii="Times New Roman" w:hAnsi="Times New Roman" w:eastAsia="Times New Roman"/>
          <w:b/>
          <w:sz w:val="28"/>
        </w:rPr>
        <w:t xml:space="preserve">KẾT LUẬN</w:t>
      </w:r>
    </w:p>
    <w:p w14:paraId="00100034" w14:textId="00100035">
      <w:pPr>
        <w:widowControl w:val="false"/>
        <w:spacing w:before="80" w:line="360" w:lineRule="auto"/>
        <w:ind w:firstLine="567"/>
        <w:jc w:val="both"/>
      </w:pPr>
      <w:r>
        <w:rPr>
          <w:rFonts w:ascii="Times New Roman" w:hAnsi="Times New Roman" w:eastAsia="Times New Roman"/>
          <w:sz w:val="28"/>
        </w:rPr>
        <w:t xml:space="preserve">Chương 2 đã phân tích toàn diện về xu hướng phát triển của trí tuệ nhân tạo trong giai đoạn 2025-2026, tập trung vào hai khía cạnh then chốt: Edge AI với Small Language Model chạy trực tiếp trên thiết bị biên, và Retrieval-Augmented Generation kết hợp với quản lý tri thức và trách nhiệm AI. Những tiến bộ này không chỉ nâng cao hiệu năng và độ chính xác mà còn đảm bảo tính bảo mật, minh bạch và tuân thủ trong ứng dụng thực tế.</w:t>
      </w:r>
    </w:p>
    <w:p w14:paraId="00100036" w14:textId="00100037">
      <w:pPr>
        <w:spacing w:before="120" w:line="360" w:lineRule="auto"/>
        <w:jc w:val="center"/>
      </w:pPr>
      <w:r>
        <w:rPr>
          <w:rFonts w:ascii="Times New Roman" w:hAnsi="Times New Roman" w:eastAsia="Times New Roman"/>
          <w:b/>
          <w:sz w:val="28"/>
        </w:rPr>
        <w:t xml:space="preserve">TÀI LIỆU THAM KHẢO</w:t>
      </w:r>
    </w:p>
    <w:p w14:paraId="00100038" w14:textId="00100039">
      <w:pPr>
        <w:spacing w:before="80" w:line="360" w:lineRule="auto"/>
        <w:ind w:firstLine="567"/>
        <w:jc w:val="both"/>
      </w:pPr>
      <w:r>
        <w:rPr>
          <w:rFonts w:ascii="Times New Roman" w:hAnsi="Times New Roman" w:eastAsia="Times New Roman"/>
          <w:sz w:val="28"/>
        </w:rPr>
        <w:t xml:space="preserve">[3] Tổng quan về Retrieval-Augmented Generation và Responsible AI trong hệ sinh thái AI hiện đại.</w:t>
      </w:r>
    </w:p>
    <w:p w14:paraId="0010003A" w14:textId="0010003B">
      <w:pPr>
        <w:spacing w:before="80" w:line="360" w:lineRule="auto"/>
        <w:ind w:firstLine="567"/>
        <w:jc w:val="both"/>
      </w:pPr>
      <w:r>
        <w:rPr>
          <w:rFonts w:ascii="Times New Roman" w:hAnsi="Times New Roman" w:eastAsia="Times New Roman"/>
          <w:sz w:val="28"/>
        </w:rPr>
        <w:t xml:space="preserve">[6] Self-verification mechanism cho AI generation và self-reflection in RAG systems.</w:t>
      </w:r>
    </w:p>
    <w:p w14:paraId="0010003C" w14:textId="0010003D">
      <w:pPr>
        <w:spacing w:before="80" w:line="360" w:lineRule="auto"/>
        <w:ind w:firstLine="567"/>
        <w:jc w:val="both"/>
      </w:pPr>
      <w:r>
        <w:rPr>
          <w:rFonts w:ascii="Times New Roman" w:hAnsi="Times New Roman" w:eastAsia="Times New Roman"/>
          <w:sz w:val="28"/>
        </w:rPr>
        <w:t xml:space="preserve">[8] Liu et al. (2025). Comparative study of RAG and Agentic AI systems performance evaluation.</w:t>
      </w:r>
    </w:p>
    <w:p w14:paraId="0010003E" w14:textId="0010003F">
      <w:pPr>
        <w:spacing w:before="80" w:line="360" w:lineRule="auto"/>
        <w:ind w:firstLine="567"/>
        <w:jc w:val="both"/>
      </w:pPr>
      <w:r>
        <w:rPr>
          <w:rFonts w:ascii="Times New Roman" w:hAnsi="Times New Roman" w:eastAsia="Times New Roman"/>
          <w:sz w:val="28"/>
        </w:rPr>
        <w:t xml:space="preserve">[10] Wang et al. (2025). Comprehensive evaluation of quantization effects on Small Language Models. ACM RichMediaGAI.</w:t>
      </w:r>
    </w:p>
    <w:p w14:paraId="00100040" w14:textId="00100041">
      <w:pPr>
        <w:spacing w:before="80" w:line="360" w:lineRule="auto"/>
        <w:ind w:firstLine="567"/>
        <w:jc w:val="both"/>
      </w:pPr>
      <w:r>
        <w:rPr>
          <w:rFonts w:ascii="Times New Roman" w:hAnsi="Times New Roman" w:eastAsia="Times New Roman"/>
          <w:sz w:val="28"/>
        </w:rPr>
        <w:t xml:space="preserve">[11] Luật An ninh mạng Việt Nam và Nghị định 13/2023/NĐ-CP hướng dẫn quản lý hoạt động trí tuệ nhân tạo. OECD Due Diligence Guidance for Responsible AI.</w:t>
      </w:r>
    </w:p>
    <w:p w14:paraId="00100042" w14:textId="00100043">
      <w:pPr>
        <w:spacing w:before="80" w:line="360" w:lineRule="auto"/>
        <w:ind w:firstLine="567"/>
        <w:jc w:val="both"/>
      </w:pPr>
      <w:r>
        <w:rPr>
          <w:rFonts w:ascii="Times New Roman" w:hAnsi="Times New Roman" w:eastAsia="Times New Roman"/>
          <w:sz w:val="28"/>
        </w:rPr>
        <w:t xml:space="preserve">[12] BCG và MIT Sloan Management Review (2026). Responsible AI implementation survey: from commitment to practice.</w:t>
      </w:r>
    </w:p>
    <w:p w14:paraId="00100044" w14:textId="00100045">
      <w:pPr>
        <w:spacing w:before="80" w:line="360" w:lineRule="auto"/>
        <w:ind w:firstLine="567"/>
        <w:jc w:val="both"/>
      </w:pPr>
      <w:r>
        <w:rPr>
          <w:rFonts w:ascii="Times New Roman" w:hAnsi="Times New Roman" w:eastAsia="Times New Roman"/>
          <w:sz w:val="28"/>
        </w:rPr>
        <w:t xml:space="preserve">[13] Small Language Model research and market analysis (2025-2026). Microsoft Phi Series, Google Gemma Series, Qwen Series, Zylos Research market report.</w:t>
      </w:r>
    </w:p>
    <w:sectPr>
      <w:pgSz w:w="11906" w:h="16838"/>
      <w:pgMar w:top="1412" w:right="850" w:bottom="1140" w:left="1984"/>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http://schemas.openxmlformats.org/wordprocessingml/2006/main">
  <w:docDefaults>
    <w:rPrDefault>
      <w:rPr>
        <w:rFonts w:ascii="Times New Roman" w:hAnsi="Times New Roman" w:eastAsia="Times New Roman" w:cs="Times New Roman"/>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c84f6f90ab2843a1" /><Relationship Type="http://schemas.openxmlformats.org/officeDocument/2006/relationships/styles" Target="/word/styles.xml" Id="Rd861e9273ffe4583" /><Relationship Type="http://schemas.openxmlformats.org/officeDocument/2006/relationships/theme" Target="/word/theme/theme1.xml" Id="Rac2bdad6a6b942a6" /><Relationship Type="http://schemas.openxmlformats.org/officeDocument/2006/relationships/numbering" Target="/word/numbering.xml" Id="Rf1faef1ffd154c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OfficeCLI/1.0.100</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2026-05-27T02:49:11Z</dcterms:created>
  <cp:lastModifiedBy>OfficeCLI</cp:lastModifiedBy>
  <dcterms:modified xsi:type="dcterms:W3CDTF">2026-05-27T02:49:11Z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1.0.100</vt:lpwstr>
  </op:property>
  <op:property fmtid="{D5CDD505-2E9C-101B-9397-08002B2CF9AE}" pid="3" name="OfficeCLI.LastModified">
    <vt:lpwstr xmlns:vt="http://schemas.openxmlformats.org/officeDocument/2006/docPropsVTypes">2026-05-27T03:44:24Z</vt:lpwstr>
  </op:property>
</op:Properties>
</file>