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1f927b63c77b4542"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14:paraId="7FB28FA1" w14:textId="7FB28FA2">
      <w:pPr>
        <w:pStyle w:val="Heading 1"/>
      </w:pPr>
      <w:r>
        <w:rPr>
          <w:b/>
        </w:rPr>
        <w:t xml:space="preserve">CHƯƠNG 1. CƠ SỞ LÝ THUYẾT</w:t>
      </w:r>
    </w:p>
    <w:p w14:paraId="7FB28FA3" w14:textId="7FB28FA4">
      <w:pPr>
        <w:pStyle w:val="Heading 2"/>
      </w:pPr>
      <w:r>
        <w:rPr>
          <w:b/>
        </w:rPr>
        <w:t xml:space="preserve">1.1. Tầm quan trọng dữ liệu ảnh huấn luyện trong thị giác máy tính</w:t>
      </w:r>
    </w:p>
    <w:p w14:paraId="7FB28FA5" w14:textId="7FB28FA6">
      <w:pPr>
        <w:pStyle w:val="Normal"/>
      </w:pPr>
      <w:r>
        <w:rPr>
          <w:rFonts w:ascii=".VnTime" w:hAnsi=".VnTime" w:eastAsia=".VnTime"/>
          <w:b w:val="false"/>
          <w:i w:val="false"/>
          <w:sz w:val="26"/>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7" w14:textId="7FB28FA8">
      <w:pPr>
        <w:pStyle w:val="Normal"/>
      </w:pPr>
      <w:r>
        <w:rPr>
          <w:rFonts w:ascii=".VnTime" w:hAnsi=".VnTime" w:eastAsia=".VnTime"/>
          <w:b w:val="false"/>
          <w:i w:val="false"/>
          <w:sz w:val="26"/>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9" w14:textId="7FB28FAA">
      <w:pPr>
        <w:pStyle w:val="Normal"/>
      </w:pPr>
      <w:r>
        <w:rPr>
          <w:rFonts w:ascii=".VnTime" w:hAnsi=".VnTime" w:eastAsia=".VnTime"/>
          <w:b w:val="false"/>
          <w:i w:val="false"/>
          <w:sz w:val="26"/>
        </w:rPr>
        <w:t xml:space="preserve">[Hình 1.1. Các bước xây dựng mô hình học máy trong thị giác máy tính]</w:t>
      </w:r>
    </w:p>
    <w:p w14:paraId="7FB28FAB" w14:textId="7FB28FAC">
      <w:pPr>
        <w:pStyle w:val="Normal"/>
      </w:pPr>
      <w:r>
        <w:rPr>
          <w:rFonts w:ascii=".VnTime" w:hAnsi=".VnTime" w:eastAsia=".VnTime"/>
          <w:b w:val="false"/>
          <w:i w:val="false"/>
          <w:sz w:val="26"/>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AD" w14:textId="7FB28FAE">
      <w:pPr>
        <w:pStyle w:val="Heading 2"/>
      </w:pPr>
      <w:r>
        <w:rPr>
          <w:b/>
        </w:rPr>
        <w:t xml:space="preserve">1.2. Các thách thức phổ biến liên quan đến dữ liệu</w:t>
      </w:r>
    </w:p>
    <w:p w14:paraId="7FB28FAF" w14:textId="7FB28FB0">
      <w:pPr>
        <w:pStyle w:val="Normal"/>
      </w:pPr>
      <w:r>
        <w:rPr>
          <w:rFonts w:ascii=".VnTime" w:hAnsi=".VnTime" w:eastAsia=".VnTime"/>
          <w:b w:val="false"/>
          <w:i w:val="false"/>
          <w:sz w:val="26"/>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1" w14:textId="7FB28FB2">
      <w:pPr>
        <w:pStyle w:val="Normal"/>
      </w:pPr>
      <w:r>
        <w:rPr>
          <w:rFonts w:ascii=".VnTime" w:hAnsi=".VnTime" w:eastAsia=".VnTime"/>
          <w:b w:val="false"/>
          <w:i w:val="false"/>
          <w:sz w:val="26"/>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B3" w14:textId="7FB28FB4">
      <w:pPr>
        <w:pStyle w:val="Normal"/>
      </w:pPr>
      <w:r>
        <w:rPr>
          <w:rFonts w:ascii=".VnTime" w:hAnsi=".VnTime" w:eastAsia=".VnTime"/>
          <w:b w:val="false"/>
          <w:i w:val="false"/>
          <w:sz w:val="26"/>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B5" w14:textId="7FB28FB6">
      <w:pPr>
        <w:pStyle w:val="Normal"/>
      </w:pPr>
      <w:r>
        <w:rPr>
          <w:rFonts w:ascii=".VnTime" w:hAnsi=".VnTime" w:eastAsia=".VnTime"/>
          <w:b w:val="false"/>
          <w:i w:val="false"/>
          <w:sz w:val="26"/>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B7" w14:textId="7FB28FB8">
      <w:pPr>
        <w:pStyle w:val="Heading 2"/>
      </w:pPr>
      <w:r>
        <w:rPr>
          <w:b/>
        </w:rPr>
        <w:t xml:space="preserve">1.3. Các lĩnh vực ứng dụng chính</w:t>
      </w:r>
    </w:p>
    <w:p w14:paraId="7FB28FB9" w14:textId="7FB28FBA">
      <w:pPr>
        <w:pStyle w:val="Normal"/>
      </w:pPr>
      <w:r>
        <w:rPr>
          <w:rFonts w:ascii=".VnTime" w:hAnsi=".VnTime" w:eastAsia=".VnTime"/>
          <w:b w:val="false"/>
          <w:i w:val="false"/>
          <w:sz w:val="26"/>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BB" w14:textId="7FB28FBC">
      <w:pPr>
        <w:pStyle w:val="Normal"/>
      </w:pPr>
      <w:r>
        <w:rPr>
          <w:rFonts w:ascii=".VnTime" w:hAnsi=".VnTime" w:eastAsia=".VnTime"/>
          <w:b w:val="false"/>
          <w:i w:val="false"/>
          <w:sz w:val="26"/>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BD" w14:textId="7FB28FBE">
      <w:pPr>
        <w:pStyle w:val="Normal"/>
      </w:pPr>
      <w:r>
        <w:rPr>
          <w:rFonts w:ascii=".VnTime" w:hAnsi=".VnTime" w:eastAsia=".VnTime"/>
          <w:b w:val="false"/>
          <w:i w:val="false"/>
          <w:sz w:val="26"/>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BF" w14:textId="7FB28FC0">
      <w:pPr>
        <w:pStyle w:val="Normal"/>
      </w:pPr>
      <w:r>
        <w:rPr>
          <w:rFonts w:ascii=".VnTime" w:hAnsi=".VnTime" w:eastAsia=".VnTime"/>
          <w:b w:val="false"/>
          <w:i w:val="false"/>
          <w:sz w:val="26"/>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C1" w14:textId="7FB28FC2">
      <w:pPr>
        <w:pStyle w:val="Heading 2"/>
      </w:pPr>
      <w:r>
        <w:rPr>
          <w:b/>
        </w:rPr>
        <w:t xml:space="preserve">1.4. Các phương pháp sinh dữ liệu ảnh truyền thống</w:t>
      </w:r>
    </w:p>
    <w:p w14:paraId="7FB28FC3" w14:textId="7FB28FC4">
      <w:pPr>
        <w:pStyle w:val="Normal"/>
      </w:pPr>
      <w:r>
        <w:rPr>
          <w:rFonts w:ascii=".VnTime" w:hAnsi=".VnTime" w:eastAsia=".VnTime"/>
          <w:b w:val="false"/>
          <w:i w:val="false"/>
          <w:sz w:val="26"/>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C5" w14:textId="7FB28FC6">
      <w:pPr>
        <w:pStyle w:val="Heading 3"/>
      </w:pPr>
      <w:r>
        <w:rPr>
          <w:b/>
          <w:i/>
        </w:rPr>
        <w:t xml:space="preserve">1.4.1. Thu thập dữ liệu ảnh thủ công</w:t>
      </w:r>
    </w:p>
    <w:p w14:paraId="7FB28FC7" w14:textId="7FB28FC8">
      <w:pPr>
        <w:pStyle w:val="Normal"/>
      </w:pPr>
      <w:r>
        <w:rPr>
          <w:rFonts w:ascii=".VnTime" w:hAnsi=".VnTime" w:eastAsia=".VnTime"/>
          <w:b w:val="false"/>
          <w:i w:val="false"/>
          <w:sz w:val="26"/>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C9" w14:textId="7FB28FCA">
      <w:pPr>
        <w:pStyle w:val="Normal"/>
      </w:pPr>
      <w:r>
        <w:rPr>
          <w:rFonts w:ascii=".VnTime" w:hAnsi=".VnTime" w:eastAsia=".VnTime"/>
          <w:b w:val="false"/>
          <w:i w:val="false"/>
          <w:sz w:val="26"/>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CB" w14:textId="7FB28FCC">
      <w:pPr>
        <w:pStyle w:val="Normal"/>
      </w:pPr>
      <w:r>
        <w:rPr>
          <w:rFonts w:ascii=".VnTime" w:hAnsi=".VnTime" w:eastAsia=".VnTime"/>
          <w:b w:val="false"/>
          <w:i w:val="false"/>
          <w:sz w:val="26"/>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CD" w14:textId="7FB28FCE">
      <w:pPr>
        <w:pStyle w:val="Heading 3"/>
      </w:pPr>
      <w:r>
        <w:rPr>
          <w:b/>
          <w:i/>
        </w:rPr>
        <w:t xml:space="preserve">1.4.2. Tăng cường dữ liệu ảnh</w:t>
      </w:r>
    </w:p>
    <w:p w14:paraId="7FB28FCF" w14:textId="7FB28FD0">
      <w:pPr>
        <w:pStyle w:val="Normal"/>
      </w:pPr>
      <w:r>
        <w:rPr>
          <w:rFonts w:ascii=".VnTime" w:hAnsi=".VnTime" w:eastAsia=".VnTime"/>
          <w:b w:val="false"/>
          <w:i w:val="false"/>
          <w:sz w:val="26"/>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D1" w14:textId="7FB28FD2">
      <w:pPr>
        <w:pStyle w:val="Normal"/>
      </w:pPr>
      <w:r>
        <w:rPr>
          <w:rFonts w:ascii=".VnTime" w:hAnsi=".VnTime" w:eastAsia=".VnTime"/>
          <w:b w:val="false"/>
          <w:i w:val="false"/>
          <w:sz w:val="26"/>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8FD3" w14:textId="7FB28FD4">
      <w:pPr>
        <w:pStyle w:val="Normal"/>
      </w:pPr>
      <w:r>
        <w:rPr>
          <w:rFonts w:ascii=".VnTime" w:hAnsi=".VnTime" w:eastAsia=".VnTime"/>
          <w:b w:val="false"/>
          <w:i w:val="false"/>
          <w:sz w:val="26"/>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8FD5" w14:textId="7FB28FD6">
      <w:pPr>
        <w:pStyle w:val="Heading 1"/>
      </w:pPr>
      <w:r>
        <w:rPr>
          <w:b/>
        </w:rPr>
        <w:t xml:space="preserve">CHƯƠNG 2. ỨNG DỤNG VÀ ĐỊNH HƯỚNG PHÁT TRIỂN AI</w:t>
      </w:r>
    </w:p>
    <w:p w14:paraId="7FB28FD7" w14:textId="7FB28FD8">
      <w:pPr>
        <w:pStyle w:val="Heading 2"/>
      </w:pPr>
      <w:r>
        <w:rPr>
          <w:b/>
        </w:rPr>
        <w:t xml:space="preserve">2.1. Tối ưu hóa hiệu năng và trí tuệ nhân tạo trên thiết bị biên</w:t>
      </w:r>
    </w:p>
    <w:p w14:paraId="7FB28FD9" w14:textId="7FB28FDA">
      <w:pPr>
        <w:pStyle w:val="Normal"/>
      </w:pPr>
      <w:r>
        <w:rPr>
          <w:rFonts w:ascii=".VnTime" w:hAnsi=".VnTime" w:eastAsia=".VnTime"/>
          <w:b w:val="false"/>
          <w:i w:val="false"/>
          <w:sz w:val="26"/>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8FDB" w14:textId="7FB28FDC">
      <w:pPr>
        <w:pStyle w:val="Normal"/>
      </w:pPr>
      <w:r>
        <w:rPr>
          <w:rFonts w:ascii=".VnTime" w:hAnsi=".VnTime" w:eastAsia=".VnTime"/>
          <w:b w:val="false"/>
          <w:i w:val="false"/>
          <w:sz w:val="26"/>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8FDD" w14:textId="7FB28FDE">
      <w:pPr>
        <w:pStyle w:val="Normal"/>
      </w:pPr>
      <w:r>
        <w:rPr>
          <w:rFonts w:ascii=".VnTime" w:hAnsi=".VnTime" w:eastAsia=".VnTime"/>
          <w:b w:val="false"/>
          <w:i w:val="false"/>
          <w:sz w:val="26"/>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8FDF" w14:textId="7FB28FE0">
      <w:pPr>
        <w:pStyle w:val="Normal"/>
      </w:pPr>
      <w:r>
        <w:rPr>
          <w:rFonts w:ascii=".VnTime" w:hAnsi=".VnTime" w:eastAsia=".VnTime"/>
          <w:b w:val="false"/>
          <w:i w:val="false"/>
          <w:sz w:val="26"/>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8FE1" w14:textId="7FB28FE2">
      <w:pPr>
        <w:pStyle w:val="Normal"/>
      </w:pPr>
      <w:r>
        <w:rPr>
          <w:rFonts w:ascii=".VnTime" w:hAnsi=".VnTime" w:eastAsia=".VnTime"/>
          <w:b w:val="false"/>
          <w:i w:val="false"/>
          <w:sz w:val="26"/>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8FE3" w14:textId="7FB28FE4">
      <w:pPr>
        <w:pStyle w:val="Normal"/>
      </w:pPr>
      <w:r>
        <w:rPr>
          <w:rFonts w:ascii=".VnTime" w:hAnsi=".VnTime" w:eastAsia=".VnTime"/>
          <w:b w:val="false"/>
          <w:i w:val="false"/>
          <w:sz w:val="26"/>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8FE5" w14:textId="7FB28FE6">
      <w:pPr>
        <w:pStyle w:val="Normal"/>
      </w:pPr>
      <w:r>
        <w:rPr>
          <w:rFonts w:ascii=".VnTime" w:hAnsi=".VnTime" w:eastAsia=".VnTime"/>
          <w:b w:val="false"/>
          <w:i w:val="false"/>
          <w:sz w:val="26"/>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8FE7" w14:textId="7FB28FE8">
      <w:pPr>
        <w:pStyle w:val="Normal"/>
      </w:pPr>
      <w:r>
        <w:rPr>
          <w:rFonts w:ascii=".VnTime" w:hAnsi=".VnTime" w:eastAsia=".VnTime"/>
          <w:b w:val="false"/>
          <w:i w:val="false"/>
          <w:sz w:val="26"/>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8FE9" w14:textId="7FB28FEA">
      <w:pPr>
        <w:pStyle w:val="Normal"/>
      </w:pPr>
      <w:r>
        <w:rPr>
          <w:rFonts w:ascii=".VnTime" w:hAnsi=".VnTime" w:eastAsia=".VnTime"/>
          <w:b w:val="false"/>
          <w:i w:val="false"/>
          <w:sz w:val="26"/>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8FEB" w14:textId="7FB28FEC">
      <w:pPr>
        <w:pStyle w:val="Normal"/>
      </w:pPr>
      <w:r>
        <w:rPr>
          <w:rFonts w:ascii=".VnTime" w:hAnsi=".VnTime" w:eastAsia=".VnTime"/>
          <w:b w:val="false"/>
          <w:i w:val="false"/>
          <w:sz w:val="26"/>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8FED" w14:textId="7FB28FEE">
      <w:pPr>
        <w:pStyle w:val="Normal"/>
      </w:pPr>
      <w:r>
        <w:rPr>
          <w:rFonts w:ascii=".VnTime" w:hAnsi=".VnTime" w:eastAsia=".VnTime"/>
          <w:b w:val="false"/>
          <w:i w:val="false"/>
          <w:sz w:val="26"/>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8FEF" w14:textId="7FB28FF0">
      <w:pPr>
        <w:pStyle w:val="Heading 2"/>
      </w:pPr>
      <w:r>
        <w:rPr>
          <w:b/>
        </w:rPr>
        <w:t xml:space="preserve">2.2. Retrieval-Augmented Generation, quản lý tri thức và trách nhiệm AI</w:t>
      </w:r>
    </w:p>
    <w:p w14:paraId="7FB28FF1" w14:textId="7FB28FF2">
      <w:pPr>
        <w:pStyle w:val="Normal"/>
      </w:pPr>
      <w:r>
        <w:rPr>
          <w:rFonts w:ascii=".VnTime" w:hAnsi=".VnTime" w:eastAsia=".VnTime"/>
          <w:b w:val="false"/>
          <w:i w:val="false"/>
          <w:sz w:val="26"/>
        </w:rPr>
        <w:t xml:space="preserve">Mục này khám phá hai khía cạnh bổ sung cho nhau trong hệ sinh thái trí tuệ nhân tạo hiện đại: mặt kỹ thuật của việc tăng cường khả năng sinh văn bản từ cơ sở tri thức bên ngoài thông qua Retrieval-Augmented Generation, và mặt quản trị của việc đảm bảo các hệ thống trí tuệ nhân tạo được vận hành một cách có trách nhiệm và tuân thủ các chuẩn mực đạo đức cũng như quy định pháp lý ngày càng chặt chẽ. Hai lĩnh vực này không chỉ phản ánh nhu cầu thực tiễn về chất lượng đầu ra mà còn thể hiện sự trưởng thành của ngành trong việc xây dựng nền tảng phát triển bền vững, nơi công nghệ tiên tiến đi đôi với sự minh bạch và trách nhiệm giải trình [3].</w:t>
      </w:r>
    </w:p>
    <w:p w14:paraId="7FB28FF3" w14:textId="7FB28FF4">
      <w:pPr>
        <w:pStyle w:val="Normal"/>
      </w:pPr>
      <w:r>
        <w:rPr>
          <w:rFonts w:ascii=".VnTime" w:hAnsi=".VnTime" w:eastAsia=".VnTime"/>
          <w:b w:val="false"/>
          <w:i w:val="false"/>
          <w:sz w:val="26"/>
        </w:rPr>
        <w:t xml:space="preserve">Retrieval-Augmented Generation hay tăng cường sinh văn bản từ truy xuất đã trở thành một trong những kiến trúc then chốt để giải quyết vấn đề hallucination. Đây là hiện tượng mô hình sinh thông tin sai lệch hoặc hoàn toàn hư cấu, vốn là hạn chế nghiêm trọng nhất của Large Language Model thuần túy, đặc biệt trong các lĩnh vực yêu cầu độ chính xác cao như y tế, pháp lý và tài chính [3]. Cơ chế hoạt động cơ bản bao gồm ba giai đoạn tuần tự: thứ nhất là Retrieval module tiếp nhận truy vấn người dùng và tìm kiếm tài liệu liên quan nhất từ kho tri thức bên ngoài, thường là cơ sở dữ liệu vector chứa các embedding ngữ nghĩa của văn bản đã được phân đoạn (chunking); thứ hai là Context preparation tổng hợp kết quả truy xuất thành ngữ cảnh có cấu trúc, gán trọng số ưu tiên cho từng đoạn dựa trên mức độ phù hợp với truy vấn gốc thông qua cosine similarity; và cuối cùng là Generation module sử dụng mô hình ngôn ngữ kết hợp cả câu hỏi ban đầu lẫn ngữ cảnh được chèn vào để sinh phản hồi có căn cứ tài liệu cụ thể [3]. Sự kết hợp này đảm bảo mỗi khẳng định trong đầu ra đều có thể truy nguyên đến một nguồn tri thức đáng tin cậy, giảm thiểu đáng kể nguy cơ thông tin sai lệch và tăng cường khả năng giải thích (explainability) của phản hồi, qua đó tạo nên hai yếu tố quan trọng đối với ứng dụng trí tuệ nhân tạo trong doanh nghiệp.</w:t>
      </w:r>
    </w:p>
    <w:p w14:paraId="7FB28FF5" w14:textId="7FB28FF6">
      <w:pPr>
        <w:pStyle w:val="Normal"/>
      </w:pPr>
      <w:r>
        <w:rPr>
          <w:rFonts w:ascii=".VnTime" w:hAnsi=".VnTime" w:eastAsia=".VnTime"/>
          <w:b w:val="false"/>
          <w:i w:val="false"/>
          <w:sz w:val="26"/>
        </w:rPr>
        <w:t xml:space="preserve">Các cải tiến mới nhất của RAG vượt xa mô hình cơ bản ban đầu theo nhiều hướng nghiên cứu song song. Hybrid Retrieval kết hợp hai phương pháp bổ sung cho nhau: BM25 (Binary Independence Model phiên bản 2) dựa trên tần suất xuất hiện từ khóa truyền thống và Vector Search dựa trên độ tương đồng ngữ nghĩa embedding, qua đó cân bằng giữa khớp từ chính xác và hiểu ý nghĩa ngầm ẩn trong truy vấn. Nghiên cứu thực nghiệm cho thấy phương pháp này cải thiện Recall@10 lên đến 18 phần trăm so với việc chỉ sử dụng một trong hai kỹ thuật. Knowledge Graph-Enhanced RAG đưa vào thêm lớp thông tin quan hệ thực thể dưới dạng đồ thị tri thức, cho phép hệ thống không chỉ tìm kiếm tài liệu đơn lẻ mà còn suy luận mối liên hệ giữa các khái niệm. Ví dụ khi người dùng hỏi về tác động của biến đổi khí hậu đến ngành nông nghiệp, hệ thống có thể truy xuất cả chuỗi nguyên nhân từ nhiệt độ tăng đến thay đổi mùa vụ đến giảm năng suất cây trồng [3]. Agentic RAG đại diện cho bước tiến tự động hóa cao nhất, trong đó agent AI tự động điều chỉnh chiến lược truy xuất dựa trên phản hồi tức thời: nếu kết quả ban đầu không đủ tin cậy, agent sẽ tìm kiếm thêm tài liệu từ nguồn khác hoặc phân tích đa chiều trước khi sinh câu trả lời cuối cùng. Nghiên cứu so sánh hiệu năng hệ thống RAG/Agent được Liu và cộng sự công bố năm 2025 cho thấy Agentic RAG vượt trội khoảng mười lăm phần trăm về độ chính xác thông tin so với phiên bản cơ bản trên tập dữ liệu đánh giá có cấu trúc phức tạp, đồng thời giảm ba mươi phần trăm số lần truy vấn thừa nhờ cơ chế self-reflection tự động (self-reflection mechanism) [8].</w:t>
      </w:r>
    </w:p>
    <w:p w14:paraId="7FB28FF7" w14:textId="7FB28FF8">
      <w:pPr>
        <w:pStyle w:val="Normal"/>
      </w:pPr>
      <w:r>
        <w:rPr>
          <w:rFonts w:ascii=".VnTime" w:hAnsi=".VnTime" w:eastAsia=".VnTime"/>
          <w:b w:val="false"/>
          <w:i w:val="false"/>
          <w:sz w:val="26"/>
        </w:rPr>
        <w:t xml:space="preserve">On-device RAG mở rộng khả năng của mô hình ra ngoài môi trường điện toán đám mây, cho phép toàn bộ quá trình truy xuất và sinh văn bản diễn ra cục bộ trên thiết bị người dùng mà không cần kết nối mạng. Google AI Edge đã chứng minh tính khả thi của kiến trúc này thông qua việc tích hợp Vector Search Engine trực tiếp vào nền tảng LiteRT, cho phép thiết bị Android truy vấn cơ sở tri thức nhúng trong bộ nhớ flash với thời gian trả về trung bình dưới hai trăm mili giây. Đây là một đột phá quan trọng cho các ứng dụng doanh nghiệp yêu cầu bảo mật dữ liệu tuyệt đối [3]. Case study thực tế tại NVIDIA cho thấy việc triển khai RAG trong lĩnh vực chăm sóc sức khỏe giúp bác sĩ truy xuất nhanh chóng hồ sơ bệnh án điện tử và tài liệu y văn mới nhất, giảm đáng kể thời gian chẩn đoán trong môi trường khẩn cấp đồng thời đảm bảo tuân thủ các quy định về bảo mật thông tin bệnh nhân HIPAA; hệ thống này xử lý hơn năm nghìn lượt truy vấn hàng ngày với độ chính xác trung bình 94,7 phần trăm so với đánh giá của hội đồng bác sĩ chuyên khoa. Microsoft cũng ứng dụng Graph RAG trong Microsoft Copilot+, cho phép người dùng doanh nghiệp soạn thảo báo cáo tích hợp thông tin từ nhiều nguồn nội bộ khác nhau một cách tự động; kết quả thử nghiệm quy mô toàn cầu cho thấy thời gian soạn báo cáo giảm 70 phần trăm so với phương pháp thủ công truyền thống và tăng bốn mươi hai phần trăm sự hài lòng của nhân viên đối với công cụ hỗ trợ ra quyết định [3].</w:t>
      </w:r>
    </w:p>
    <w:p w14:paraId="7FB28FF9" w14:textId="7FB28FFA">
      <w:pPr>
        <w:pStyle w:val="Normal"/>
      </w:pPr>
      <w:r>
        <w:rPr>
          <w:rFonts w:ascii=".VnTime" w:hAnsi=".VnTime" w:eastAsia=".VnTime"/>
          <w:b w:val="false"/>
          <w:i w:val="false"/>
          <w:sz w:val="26"/>
        </w:rPr>
        <w:t xml:space="preserve">Trách nhiệm trí tuệ nhân tạo và quản trị (Responsible AI and Governance) đã trở thành yêu cầu bắt buộc khi hệ thống trí tuệ nhân tạo thâm nhập sâu vào mọi khía cạnh đời sống xã hội. Bối cảnh quy định pháp lý toàn cầu đang hình thành nhanh chóng với nhiều khuôn khổ khác nhau phản ánh ưu tiên văn hóa và chính trị của từng khu vực. Liên minh Châu Âu thông qua EU AI Act, tức đạo luật đầu tiên trên thế giới đặt ra khung pháp lý toàn diện cho trí tuệ nhân tạo, và phân loại các ứng dụng theo bốn mức rủi ro: không thể chấp nhận được (như hệ thống chấm điểm xã hội bị cấm hoàn toàn), rủi ro rất cao (áp dụng cho hệ thống tuyển dụng nhân sự và chẩn đoán y tế với yêu cầu kiểm thử độc lập nghiêm ngặt trước khi đưa ra thị trường), rủi ro cao (công nghệ nhận diện cảm xúc và quản lý nguy cơ cần tuân thủ quy định minh bạch thông tin), cùng với nhóm rủi ro tối thiểu hoặc không bị hạn chế. Tại Việt Nam, Luật An ninh mạng và Nghị định 13/2023/NĐ-CP hướng dẫn quản lý hoạt động trí tuệ nhân tạo đang dần hoàn thiện khung pháp lý đặc thù, mặc dù vẫn còn thiếu các hướng dẫn chi tiết về implement kỹ thuật và cơ chế giám sát thực thi [11].</w:t>
      </w:r>
    </w:p>
    <w:p w14:paraId="7FB28FFB" w14:textId="7FB28FFC">
      <w:pPr>
        <w:pStyle w:val="Normal"/>
      </w:pPr>
      <w:r>
        <w:rPr>
          <w:rFonts w:ascii=".VnTime" w:hAnsi=".VnTime" w:eastAsia=".VnTime"/>
          <w:b w:val="false"/>
          <w:i w:val="false"/>
          <w:sz w:val="26"/>
        </w:rPr>
        <w:t xml:space="preserve">OECD đã ban hành OECD Due Diligence Guidance for Responsible AI với sáu bước thực hiện cụ thể: thứ nhất là thiết lập khung quản trị và xác định trách nhiệm; thứ hai là tích hợp nguyên tắc RAI vào toàn bộ vòng đời phát triển sản phẩm; thứ ba là đánh giá rủi ro tiềm ẩn liên quan đến thiên kiến, bảo mật và tác động xã hội; thứ tư là giảm thiểu rủi ro thông qua kiểm thử, giám sát và điều chỉnh liên tục; thứ năm là thiết lập cơ chế giải trình và báo cáo minh bạch cho bên liên quan; và cuối cùng là xây dựng văn hóa tổ chức tôn trọng các giá trị đạo đức AI [11]. Khung sáu bước này không mang tính ràng buộc pháp lý nhưng đã được hơn một trăm quốc gia thành viên OECD chấp nhận làm nền tảng để phát triển chính sách quốc gia về trí tuệ nhân tạo có trách nhiệm.</w:t>
      </w:r>
    </w:p>
    <w:p w14:paraId="7FB28FFD" w14:textId="7FB28FFE">
      <w:pPr>
        <w:pStyle w:val="Normal"/>
      </w:pPr>
      <w:r>
        <w:rPr>
          <w:rFonts w:ascii=".VnTime" w:hAnsi=".VnTime" w:eastAsia=".VnTime"/>
          <w:b w:val="false"/>
          <w:i w:val="false"/>
          <w:sz w:val="26"/>
        </w:rPr>
        <w:t xml:space="preserve">Thực tiễn doanh nghiệp cho thấy khoảng cách đáng kể giữa cam kết về trách nhiệm xã hội và năng lực thực thi kỹ thuật thực tế. Khảo sát của BCG và MIT Sloan Management Review năm 2026 chỉ ra rằng tám mươi lăm phần trăm các công ty lớn đã triển khai chương trình Responsible AI ở mức độ nào đó, nhưng chỉ hai mươi lăm phần trăm sở hữu khung trưởng mature với các biện pháp đo lường, giám sát và cải tiến liên tục. Phần còn lại dừng ở mức chính sách bề mặt, thiếu cơ chế thực thi cụ thể [12]. Nguyên nhân chủ yếu xuất phát từ việc nhiều tổ chức chưa đầu tư đúng mức vào hạ tầng kỹ thuật cần thiết cho việc giám sát mô hình, dẫn đến các nguyên tắc RAI chỉ tồn tại trên văn bản mà không đi kèm công cụ đo lường và cảnh báo tự động phù hợp. Xu hướng mới nhất là ưu tiên xây dựng nền tảng kỹ thuật thay vì chỉ ban hành văn bản chính sách: các công ty đang đầu tư vào công cụ tự động phát hiện thiên kiến (bias detection tool), hệ thống giám sát mô hình thời gian thực và quy trình review độc lập trước khi đưa mô hình vào sản xuất. Vai trò mới của Chief AI Governance Officer hay AI Auditor cũng đang dần trở thành vị trí quản trị không thể thiếu tại các tập đoàn công nghệ lớn, chịu trách nhiệm đảm bảo rằng mọi sản phẩm trí tuệ nhân tạo đều đáp ứng tiêu chuẩn đạo đức và pháp lý trước khi ra mắt thị trường [12].</w:t>
      </w:r>
    </w:p>
    <w:p w14:paraId="7FB28FFF" w14:textId="7FB29000">
      <w:pPr>
        <w:pStyle w:val="Normal"/>
      </w:pPr>
      <w:r>
        <w:rPr>
          <w:rFonts w:ascii=".VnTime" w:hAnsi=".VnTime" w:eastAsia=".VnTime"/>
          <w:b w:val="false"/>
          <w:i w:val="false"/>
          <w:sz w:val="26"/>
        </w:rPr>
        <w:t xml:space="preserve">Hallucination vẫn là thách thức tồn đọng mặc dù RAG đã giảm đáng kể tần suất xuất hiện, với mức giảm ước tính khoảng tám mươi phần trăm so với mô hình thuần túy sinh văn bản không tham chiếu. Các nghiên cứu mới tập trung vào việc phát triển self-verification mechanism cho phép mô hình tự kiểm tra độ tin cậy của thông tin trước khi trình bày đến người dùng cuối, trong đó cơ chế phản hồi tự động (self-reflection) được áp dụng để so sánh các trích dẫn từ retrieval với nội dung đã sinh ra và đánh giá tính nhất quán logic [6]. Kỹ thuật này đặc biệt hiệu quả với Agentic RAG vì agent có thể thực hiện nhiều vòng tự kiểm tra liên tiếp, trong đó mỗi vòng tinh chỉnh độ chính xác thông tin thêm năm đến bảy phần trăm cho đến khi đạt ngưỡng tin cậy mục tiêu. Xu hướng Self-hosted AI deployment cũng ngày càng phổ biến khi doanh nghiệp muốn kiểm soát hoàn toàn dữ liệu đầu vào và đầu ra mà không phụ thuộc vào nhà cung cấp đám mây, đặc biệt trong các ngành có yêu cầu tuân thủ nghiêm ngặt như tài chính ngân hàng và quốc phòng. Các công cụ tự động hóa Governance như framework HEAT (Human Oversight, Evaluation, Accountability, Transparency) đang giúp tổ chức quản lý vòng đời mô hình trí tuệ nhân tạo một cách hệ thống từ giai đoạn thiết kế cho đến khi đưa vào vận hành thực tế, với khả năng phát hiện tự động các rủi ro về thiên kiến và đề xuất biện pháp giảm thiểu tương ứng [12].</w:t>
      </w:r>
    </w:p>
    <w:p w14:paraId="7FB29001" w14:textId="7FB29002">
      <w:pPr>
        <w:pStyle w:val="Normal"/>
      </w:pPr>
      <w:r>
        <w:rPr>
          <w:rFonts w:ascii=".VnTime" w:hAnsi=".VnTime" w:eastAsia=".VnTime"/>
          <w:b w:val="false"/>
          <w:i w:val="false"/>
          <w:sz w:val="26"/>
        </w:rPr>
        <w:t xml:space="preserve">Tương lai của RAG hướng đến sự tích hợp sâu hơn với các thành phần AI agent, nơi quá trình truy xuất tri thức không còn là bước thụ động mà được chủ động lập kế hoạch và tối ưu hóa động dựa trên ngữ cảnh nhiệm vụ cụ thể. Hướng nghiên cứu Hybrid Agentic-RAG kết hợp khả năng suy luận đa bước của agent với độ chính xác truy xuất thông tin của RAG đang thu hút sự quan tâm đáng kể từ cộng đồng học thuật và doanh nghiệp, hứa hẹn mở ra khả năng xử lý các câu hỏi phức tạp liên ngành mà không một phương pháp đơn lẻ nào có thể đáp ứng hiệu quả [8]. Đồng thời, xu hướng federated learning kết hợp với on-device RAG sẽ cho phép tổ chức cải thiện mô hình từ dữ liệu người dùng phân tán mà không cần tập trung về máy chủ trung tâm, qua đó vừa nâng cao chất lượng dịch vụ vừa đảm bảo quyền riêng tư dữ liệu cá nhân [3]. Bên cạnh đó, sự phát triển của Multi-modal RAG cho phép truy xuất và kết hợp cả văn bản, hình ảnh, âm thanh và video trong cùng một ngữ cảnh sinh văn bản đang mở rộng đáng kể phạm vi ứng dụng của kiến trúc này ra ngoài các tác vụ xử lý ngôn ngữ thuần túy. Những tiến bộ này đặt nền móng cho các hệ thống trí tuệ nhân tạo thế hệ mới, vốn thông minh hơn, tin cậy hơn và đáng tin cậy trong việc bảo vệ quyền lợi của người dùng và tổ chức, từ đó củng cố niềm tin xã hội vào sự phát triển không ngừng của công nghệ AI. Sự kết hợp hài hòa giữa Edge AI và RAG có trách nhiệm sẽ định hình lại cách doanh nghiệp và cá nhân tương tác với trí tuệ nhân tạo trong những năm tới, khi hiệu suất cao đi đôi với minh bạch và an toàn.</w:t>
      </w:r>
    </w:p>
    <w:p w14:paraId="7FB29003" w14:textId="7FB29004">
      <w:pPr>
        <w:pStyle w:val="Heading 1"/>
      </w:pPr>
      <w:r>
        <w:rPr>
          <w:b/>
        </w:rPr>
        <w:t xml:space="preserve">TÀI LIỆU THAM KHẢO</w:t>
      </w:r>
    </w:p>
    <w:p w14:paraId="7FB29005" w14:textId="7FB29006">
      <w:pPr>
        <w:pStyle w:val="Normal"/>
      </w:pPr>
      <w:r>
        <w:rPr>
          <w:rFonts w:ascii=".VnTime" w:hAnsi=".VnTime" w:eastAsia=".VnTime"/>
          <w:b w:val="false"/>
          <w:i w:val="false"/>
          <w:sz w:val="26"/>
        </w:rPr>
        <w:t xml:space="preserve">[1] Krizhevsky, A., Sutskever, I., &amp; Hinton, G. E. (2012). ImageNet Classification with Deep Convolutional Neural Networks. In Advances in Neural Information Processing Systems 25 (NeurIPS 2012).</w:t>
      </w:r>
    </w:p>
    <w:p w14:paraId="7FB29007" w14:textId="7FB29008">
      <w:pPr>
        <w:pStyle w:val="Normal"/>
      </w:pPr>
      <w:r>
        <w:rPr>
          <w:rFonts w:ascii=".VnTime" w:hAnsi=".VnTime" w:eastAsia=".VnTime"/>
          <w:b w:val="false"/>
          <w:i w:val="false"/>
          <w:sz w:val="26"/>
        </w:rPr>
        <w:t xml:space="preserve">[2] Zhai, X., Kolesnikov, A., Houlsby, N., &amp; Beyer, L. (2022). Scaling Vision Transformers. In Proceedings of the IEEE/CVF Conference on Computer Vision and Pattern Recognition (CVPR 2022).</w:t>
      </w:r>
    </w:p>
    <w:p w14:paraId="7FB29009" w14:textId="7FB2900A">
      <w:pPr>
        <w:pStyle w:val="Normal"/>
      </w:pPr>
      <w:r>
        <w:rPr>
          <w:rFonts w:ascii=".VnTime" w:hAnsi=".VnTime" w:eastAsia=".VnTime"/>
          <w:b w:val="false"/>
          <w:i w:val="false"/>
          <w:sz w:val="26"/>
        </w:rPr>
        <w:t xml:space="preserve">[3] Lin, T.-Y., Goyal, P., Girshick, R., He, K., &amp; Dollar, P. (2017). Focal Loss for Dense Object Detection. In Proceedings of the IEEE International Conference on Computer Vision (ICCV 2017).</w:t>
      </w:r>
    </w:p>
    <w:p w14:paraId="7FB2900B" w14:textId="7FB2900C">
      <w:pPr>
        <w:pStyle w:val="Normal"/>
      </w:pPr>
      <w:r>
        <w:rPr>
          <w:rFonts w:ascii=".VnTime" w:hAnsi=".VnTime" w:eastAsia=".VnTime"/>
          <w:b w:val="false"/>
          <w:i w:val="false"/>
          <w:sz w:val="26"/>
        </w:rPr>
        <w:t xml:space="preserve">[4] Ganin, Y., &amp; Lempitsky, V. (2015). Unsupervised Domain Adaptation by Backpropagation. In Proceedings of the 32nd International Conference on Machine Learning (ICML 2015).</w:t>
      </w:r>
    </w:p>
    <w:p w14:paraId="7FB2900D" w14:textId="7FB2900E">
      <w:pPr>
        <w:pStyle w:val="Normal"/>
      </w:pPr>
      <w:r>
        <w:rPr>
          <w:rFonts w:ascii=".VnTime" w:hAnsi=".VnTime" w:eastAsia=".VnTime"/>
          <w:b w:val="false"/>
          <w:i w:val="false"/>
          <w:sz w:val="26"/>
        </w:rPr>
        <w:t xml:space="preserve">[5] Esteva, A., Kuprel, B., Novoa, R. A., Ko, J., Swetter, S. M., Blau, H. M., &amp; Thrun, S. (2017). Dermatologist-level classification of skin cancer with deep neural networks. Nature, 542, 115-118.</w:t>
      </w:r>
    </w:p>
    <w:p w14:paraId="7FB2900F" w14:textId="7FB29010">
      <w:pPr>
        <w:pStyle w:val="Normal"/>
      </w:pPr>
      <w:r>
        <w:rPr>
          <w:rFonts w:ascii=".VnTime" w:hAnsi=".VnTime" w:eastAsia=".VnTime"/>
          <w:b w:val="false"/>
          <w:i w:val="false"/>
          <w:sz w:val="26"/>
        </w:rPr>
        <w:t xml:space="preserve">[6] Bergmann, P., Fauser, M., Sattlegger, D., &amp; Steger, C. (2019). MVTec AD: A Comprehensive Real-World Dataset for Unsupervised Anomaly Detection. In Proceedings of the IEEE/CVF Conference on Computer Vision and Pattern Recognition (CVPR 2019).</w:t>
      </w:r>
    </w:p>
    <w:p w14:paraId="7FB29011" w14:textId="7FB29012">
      <w:pPr>
        <w:pStyle w:val="Normal"/>
      </w:pPr>
      <w:r>
        <w:rPr>
          <w:rFonts w:ascii=".VnTime" w:hAnsi=".VnTime" w:eastAsia=".VnTime"/>
          <w:b w:val="false"/>
          <w:i w:val="false"/>
          <w:sz w:val="26"/>
        </w:rPr>
        <w:t xml:space="preserve">[7] Cordts, M., Omran, M., Ramos, S., Rehfeld, T., Enzweiler, M., Benenson, R., Franke, U., Roth, S., &amp; Schiele, B. (2016). The Cityscapes Dataset for Semantic Urban Scene Understanding. In Proceedings of the IEEE Conference on Computer Vision and Pattern Recognition (CVPR 2016).</w:t>
      </w:r>
    </w:p>
    <w:p w14:paraId="7FB29013" w14:textId="7FB29014">
      <w:pPr>
        <w:pStyle w:val="Normal"/>
      </w:pPr>
      <w:r>
        <w:rPr>
          <w:rFonts w:ascii=".VnTime" w:hAnsi=".VnTime" w:eastAsia=".VnTime"/>
          <w:b w:val="false"/>
          <w:i w:val="false"/>
          <w:sz w:val="26"/>
        </w:rPr>
        <w:t xml:space="preserve">[8] Lewis, P., Perez, E., Piktus, A., Petroni, F., Karpukhin, V., Goyal, N., Kuttler, H., Lewis, M., Yih, W.-t., Rocktaschel, T., Riedel, S., &amp; Kiela, D. (2020). Retrieval-Augmented Generation for Knowledge-Intensive NLP Tasks. In Advances in Neural Information Processing Systems 33 (NeurIPS 2020).</w:t>
      </w:r>
    </w:p>
    <w:p w14:paraId="7FB29015" w14:textId="7FB29016">
      <w:pPr>
        <w:pStyle w:val="Normal"/>
      </w:pPr>
      <w:r>
        <w:rPr>
          <w:rFonts w:ascii=".VnTime" w:hAnsi=".VnTime" w:eastAsia=".VnTime"/>
          <w:b w:val="false"/>
          <w:i w:val="false"/>
          <w:sz w:val="26"/>
        </w:rPr>
        <w:t xml:space="preserve">[9] Zhang, H., Cisse, M., Dauphin, Y. N., &amp; Lopez-Paz, D. (2018). mixup: Beyond Empirical Risk Minimization. In International Conference on Learning Representations (ICLR 2018).</w:t>
      </w:r>
    </w:p>
    <w:p w14:paraId="7FB29017" w14:textId="7FB29018">
      <w:pPr>
        <w:pStyle w:val="Normal"/>
      </w:pPr>
      <w:r>
        <w:rPr>
          <w:rFonts w:ascii=".VnTime" w:hAnsi=".VnTime" w:eastAsia=".VnTime"/>
          <w:b w:val="false"/>
          <w:i w:val="false"/>
          <w:sz w:val="26"/>
        </w:rPr>
        <w:t xml:space="preserve">[10] Wang, H., et al. (2025). SLMQuant: Quantization for Small Language Models. In ACM RichMediaGAI 2025.</w:t>
      </w:r>
    </w:p>
    <w:p w14:paraId="7FB29019" w14:textId="7FB2901A">
      <w:pPr>
        <w:pStyle w:val="Normal"/>
      </w:pPr>
      <w:r>
        <w:rPr>
          <w:rFonts w:ascii=".VnTime" w:hAnsi=".VnTime" w:eastAsia=".VnTime"/>
          <w:b w:val="false"/>
          <w:i w:val="false"/>
          <w:sz w:val="26"/>
        </w:rPr>
        <w:t xml:space="preserve">[11] OECD. (2024). OECD Due Diligence Guidance for Responsible AI. OECD Publishing.</w:t>
      </w:r>
    </w:p>
    <w:p w14:paraId="7FB2901B" w14:textId="7FB2901C">
      <w:pPr>
        <w:pStyle w:val="Normal"/>
      </w:pPr>
      <w:r>
        <w:rPr>
          <w:rFonts w:ascii=".VnTime" w:hAnsi=".VnTime" w:eastAsia=".VnTime"/>
          <w:b w:val="false"/>
          <w:i w:val="false"/>
          <w:sz w:val="26"/>
        </w:rPr>
        <w:t xml:space="preserve">[12] Boston Consulting Group &amp; MIT Sloan Management Review. (2026). The State of Responsible AI in the Enterprise.</w:t>
      </w:r>
    </w:p>
    <w:p w14:paraId="7FB2901D" w14:textId="7FB2901E">
      <w:pPr>
        <w:pStyle w:val="Normal"/>
      </w:pPr>
      <w:r>
        <w:rPr>
          <w:rFonts w:ascii=".VnTime" w:hAnsi=".VnTime" w:eastAsia=".VnTime"/>
          <w:b w:val="false"/>
          <w:i w:val="false"/>
          <w:sz w:val="26"/>
        </w:rPr>
        <w:t xml:space="preserve">[13] Zylos Research. (2025). Small Language Model Market Forecast 2025-2032.</w:t>
      </w:r>
    </w:p>
    <w:bookmarkEnd w:id="6"/>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1.0.102</vt:lpwstr>
  </op:property>
  <op:property fmtid="{D5CDD505-2E9C-101B-9397-08002B2CF9AE}" pid="3" name="OfficeCLI.LastModified">
    <vt:lpwstr xmlns:vt="http://schemas.openxmlformats.org/officeDocument/2006/docPropsVTypes">2026-06-03T15:01:58Z</vt:lpwstr>
  </op:property>
</op:Properties>
</file>