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51164" w14:textId="77777777" w:rsidR="008F20CB" w:rsidRDefault="00000000">
      <w:pPr>
        <w:spacing w:after="60"/>
      </w:pPr>
      <w:r>
        <w:rPr>
          <w:b/>
          <w:bCs/>
          <w:color w:val="1F4E79"/>
          <w:sz w:val="44"/>
          <w:szCs w:val="44"/>
        </w:rPr>
        <w:t>Hospital Emergency Room Dashboard</w:t>
      </w:r>
    </w:p>
    <w:p w14:paraId="649921E3" w14:textId="77777777" w:rsidR="008F20CB" w:rsidRDefault="00000000">
      <w:pPr>
        <w:spacing w:after="40"/>
      </w:pPr>
      <w:r>
        <w:rPr>
          <w:color w:val="555555"/>
          <w:sz w:val="28"/>
          <w:szCs w:val="28"/>
        </w:rPr>
        <w:t>Key Takeaways Report</w:t>
      </w:r>
    </w:p>
    <w:p w14:paraId="61B5E558" w14:textId="77777777" w:rsidR="008F20CB" w:rsidRDefault="00000000">
      <w:pPr>
        <w:spacing w:after="300"/>
      </w:pPr>
      <w:r>
        <w:rPr>
          <w:i/>
          <w:iCs/>
          <w:color w:val="777777"/>
        </w:rPr>
        <w:t xml:space="preserve">Data period: April 2019 – October </w:t>
      </w:r>
      <w:proofErr w:type="gramStart"/>
      <w:r>
        <w:rPr>
          <w:i/>
          <w:iCs/>
          <w:color w:val="777777"/>
        </w:rPr>
        <w:t>2020  |</w:t>
      </w:r>
      <w:proofErr w:type="gramEnd"/>
      <w:r>
        <w:rPr>
          <w:i/>
          <w:iCs/>
          <w:color w:val="777777"/>
        </w:rPr>
        <w:t xml:space="preserve">  9,216 ER visits</w:t>
      </w:r>
    </w:p>
    <w:p w14:paraId="1A2C3FAE" w14:textId="77777777" w:rsidR="008F20CB" w:rsidRDefault="00000000">
      <w:pPr>
        <w:pStyle w:val="Heading1"/>
        <w:spacing w:before="300" w:after="150"/>
      </w:pPr>
      <w:r>
        <w:t>1. Executive Summary</w:t>
      </w:r>
    </w:p>
    <w:p w14:paraId="2E93C077" w14:textId="77777777" w:rsidR="008F20CB" w:rsidRDefault="00000000">
      <w:pPr>
        <w:spacing w:after="120"/>
      </w:pPr>
      <w:r>
        <w:t>This report summarizes the key findings from the Hospital ER Power BI dashboard (Monthly View, Consolidated View, and Satisfaction Overview pages), based on 9,216 emergency room visits recorded between April 2019 and October 2020.</w:t>
      </w:r>
    </w:p>
    <w:p w14:paraId="754B6F4B" w14:textId="77777777" w:rsidR="008F20CB" w:rsidRDefault="00000000">
      <w:pPr>
        <w:spacing w:after="120"/>
      </w:pPr>
      <w:r>
        <w:t>The headline finding is a wait-time performance gap: 59.3% of patients missed the 30-minute wait-time target, with an average wait of 35.3 minutes. Patient volume, demographics, admission rates, and satisfaction scores are otherwise remarkably stable across time, department, and patient group — meaning the ER's core operational challenge is wait-time consistency, not a specific patient segment or time period.</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500"/>
        <w:gridCol w:w="2500"/>
      </w:tblGrid>
      <w:tr w:rsidR="008F20CB" w14:paraId="10730A0F" w14:textId="77777777">
        <w:tblPrEx>
          <w:tblCellMar>
            <w:top w:w="0" w:type="dxa"/>
            <w:bottom w:w="0" w:type="dxa"/>
          </w:tblCellMar>
        </w:tblPrEx>
        <w:tc>
          <w:tcPr>
            <w:tcW w:w="2500" w:type="dxa"/>
            <w:shd w:val="clear" w:color="auto" w:fill="DCE6F1"/>
            <w:tcMar>
              <w:top w:w="120" w:type="dxa"/>
              <w:left w:w="120" w:type="dxa"/>
              <w:bottom w:w="120" w:type="dxa"/>
              <w:right w:w="120" w:type="dxa"/>
            </w:tcMar>
            <w:vAlign w:val="center"/>
          </w:tcPr>
          <w:p w14:paraId="69F976D2" w14:textId="77777777" w:rsidR="008F20CB" w:rsidRDefault="00000000">
            <w:pPr>
              <w:jc w:val="center"/>
            </w:pPr>
            <w:r>
              <w:rPr>
                <w:b/>
                <w:bCs/>
                <w:color w:val="1F4E79"/>
                <w:sz w:val="32"/>
                <w:szCs w:val="32"/>
              </w:rPr>
              <w:t>9,216</w:t>
            </w:r>
          </w:p>
          <w:p w14:paraId="225049C1" w14:textId="77777777" w:rsidR="008F20CB" w:rsidRDefault="00000000">
            <w:pPr>
              <w:jc w:val="center"/>
            </w:pPr>
            <w:r>
              <w:rPr>
                <w:sz w:val="18"/>
                <w:szCs w:val="18"/>
              </w:rPr>
              <w:t>Total Patients</w:t>
            </w:r>
          </w:p>
        </w:tc>
        <w:tc>
          <w:tcPr>
            <w:tcW w:w="2500" w:type="dxa"/>
            <w:shd w:val="clear" w:color="auto" w:fill="DCE6F1"/>
            <w:tcMar>
              <w:top w:w="120" w:type="dxa"/>
              <w:left w:w="120" w:type="dxa"/>
              <w:bottom w:w="120" w:type="dxa"/>
              <w:right w:w="120" w:type="dxa"/>
            </w:tcMar>
            <w:vAlign w:val="center"/>
          </w:tcPr>
          <w:p w14:paraId="7D2A476D" w14:textId="77777777" w:rsidR="008F20CB" w:rsidRDefault="00000000">
            <w:pPr>
              <w:jc w:val="center"/>
            </w:pPr>
            <w:r>
              <w:rPr>
                <w:b/>
                <w:bCs/>
                <w:color w:val="1F4E79"/>
                <w:sz w:val="32"/>
                <w:szCs w:val="32"/>
              </w:rPr>
              <w:t>35.3 min</w:t>
            </w:r>
          </w:p>
          <w:p w14:paraId="5A032A64" w14:textId="77777777" w:rsidR="008F20CB" w:rsidRDefault="00000000">
            <w:pPr>
              <w:jc w:val="center"/>
            </w:pPr>
            <w:r>
              <w:rPr>
                <w:sz w:val="18"/>
                <w:szCs w:val="18"/>
              </w:rPr>
              <w:t>Avg Wait Time</w:t>
            </w:r>
          </w:p>
        </w:tc>
        <w:tc>
          <w:tcPr>
            <w:tcW w:w="2500" w:type="dxa"/>
            <w:shd w:val="clear" w:color="auto" w:fill="DCE6F1"/>
            <w:tcMar>
              <w:top w:w="120" w:type="dxa"/>
              <w:left w:w="120" w:type="dxa"/>
              <w:bottom w:w="120" w:type="dxa"/>
              <w:right w:w="120" w:type="dxa"/>
            </w:tcMar>
            <w:vAlign w:val="center"/>
          </w:tcPr>
          <w:p w14:paraId="467E19AA" w14:textId="77777777" w:rsidR="008F20CB" w:rsidRDefault="00000000">
            <w:pPr>
              <w:jc w:val="center"/>
            </w:pPr>
            <w:r>
              <w:rPr>
                <w:b/>
                <w:bCs/>
                <w:color w:val="1F4E79"/>
                <w:sz w:val="32"/>
                <w:szCs w:val="32"/>
              </w:rPr>
              <w:t>4.99 / 10</w:t>
            </w:r>
          </w:p>
          <w:p w14:paraId="6EAB78B4" w14:textId="77777777" w:rsidR="008F20CB" w:rsidRDefault="00000000">
            <w:pPr>
              <w:jc w:val="center"/>
            </w:pPr>
            <w:r>
              <w:rPr>
                <w:sz w:val="18"/>
                <w:szCs w:val="18"/>
              </w:rPr>
              <w:t>Avg Satisfaction</w:t>
            </w:r>
          </w:p>
        </w:tc>
        <w:tc>
          <w:tcPr>
            <w:tcW w:w="2500" w:type="dxa"/>
            <w:shd w:val="clear" w:color="auto" w:fill="DCE6F1"/>
            <w:tcMar>
              <w:top w:w="120" w:type="dxa"/>
              <w:left w:w="120" w:type="dxa"/>
              <w:bottom w:w="120" w:type="dxa"/>
              <w:right w:w="120" w:type="dxa"/>
            </w:tcMar>
            <w:vAlign w:val="center"/>
          </w:tcPr>
          <w:p w14:paraId="43428B73" w14:textId="77777777" w:rsidR="008F20CB" w:rsidRDefault="00000000">
            <w:pPr>
              <w:jc w:val="center"/>
            </w:pPr>
            <w:r>
              <w:rPr>
                <w:b/>
                <w:bCs/>
                <w:color w:val="1F4E79"/>
                <w:sz w:val="32"/>
                <w:szCs w:val="32"/>
              </w:rPr>
              <w:t>50.0%</w:t>
            </w:r>
          </w:p>
          <w:p w14:paraId="6AEC9091" w14:textId="77777777" w:rsidR="008F20CB" w:rsidRDefault="00000000">
            <w:pPr>
              <w:jc w:val="center"/>
            </w:pPr>
            <w:r>
              <w:rPr>
                <w:sz w:val="18"/>
                <w:szCs w:val="18"/>
              </w:rPr>
              <w:t>Admission Rate</w:t>
            </w:r>
          </w:p>
        </w:tc>
      </w:tr>
    </w:tbl>
    <w:p w14:paraId="28558CD6" w14:textId="77777777" w:rsidR="008F20CB" w:rsidRDefault="008F20CB">
      <w:pPr>
        <w:spacing w:after="200"/>
      </w:pPr>
    </w:p>
    <w:p w14:paraId="7508A7BC" w14:textId="77777777" w:rsidR="008F20CB" w:rsidRDefault="00000000">
      <w:pPr>
        <w:pStyle w:val="Heading1"/>
        <w:spacing w:before="300" w:after="150"/>
      </w:pPr>
      <w:r>
        <w:t>2. Patient Volume &amp; Trend</w:t>
      </w:r>
    </w:p>
    <w:p w14:paraId="6817C7C3" w14:textId="77777777" w:rsidR="008F20CB" w:rsidRDefault="00000000">
      <w:pPr>
        <w:pStyle w:val="ListParagraph"/>
        <w:numPr>
          <w:ilvl w:val="0"/>
          <w:numId w:val="1"/>
        </w:numPr>
        <w:spacing w:after="80"/>
      </w:pPr>
      <w:r>
        <w:t>Volume is stable month to month, ranging narrowly from 431 visits (Feb 2020) to 530 visits (Aug 2020) — roughly 460-530 per month with no clear seasonal spike or COVID-related disruption visible in overall visit counts.</w:t>
      </w:r>
    </w:p>
    <w:p w14:paraId="73577667" w14:textId="77777777" w:rsidR="008F20CB" w:rsidRDefault="00000000">
      <w:pPr>
        <w:pStyle w:val="ListParagraph"/>
        <w:numPr>
          <w:ilvl w:val="0"/>
          <w:numId w:val="1"/>
        </w:numPr>
        <w:spacing w:after="80"/>
      </w:pPr>
      <w:r>
        <w:t>Weekday distribution is nearly flat: Monday is the busiest day (1,377 visits) and Friday the quietest (1,260 visits) — only a 9% spread between the busiest and quietest days.</w:t>
      </w:r>
    </w:p>
    <w:p w14:paraId="7D664334" w14:textId="77777777" w:rsidR="008F20CB" w:rsidRDefault="00000000">
      <w:pPr>
        <w:pStyle w:val="ListParagraph"/>
        <w:numPr>
          <w:ilvl w:val="0"/>
          <w:numId w:val="1"/>
        </w:numPr>
        <w:spacing w:after="80"/>
      </w:pPr>
      <w:r>
        <w:t>Hourly demand is also fairly even across the day: every hour receives between 349 and 436 visits, and the busiest single hour is 11 PM (436 visits), so overnight demand is not lighter than daytime.</w:t>
      </w:r>
    </w:p>
    <w:p w14:paraId="59714B64" w14:textId="77777777" w:rsidR="008F20CB" w:rsidRDefault="00000000">
      <w:pPr>
        <w:pStyle w:val="Heading1"/>
        <w:spacing w:before="300" w:after="150"/>
      </w:pPr>
      <w:r>
        <w:t>3. Wait Time Performance</w:t>
      </w:r>
    </w:p>
    <w:p w14:paraId="6A662041" w14:textId="77777777" w:rsidR="008F20CB" w:rsidRDefault="00000000">
      <w:pPr>
        <w:pStyle w:val="ListParagraph"/>
        <w:numPr>
          <w:ilvl w:val="0"/>
          <w:numId w:val="1"/>
        </w:numPr>
        <w:spacing w:after="80"/>
      </w:pPr>
      <w:r>
        <w:t>Average wait time is 35.3 minutes against an apparent 30-minute target.</w:t>
      </w:r>
    </w:p>
    <w:p w14:paraId="6AF05127" w14:textId="77777777" w:rsidR="008F20CB" w:rsidRDefault="00000000">
      <w:pPr>
        <w:pStyle w:val="ListParagraph"/>
        <w:numPr>
          <w:ilvl w:val="0"/>
          <w:numId w:val="1"/>
        </w:numPr>
        <w:spacing w:after="80"/>
      </w:pPr>
      <w:r>
        <w:t>59.3% of visits (5,467 of 9,216) missed the target ('Target Missed'), while only 40.7% (3,749) came in within target.</w:t>
      </w:r>
    </w:p>
    <w:p w14:paraId="20662275" w14:textId="77777777" w:rsidR="008F20CB" w:rsidRDefault="00000000">
      <w:pPr>
        <w:pStyle w:val="ListParagraph"/>
        <w:numPr>
          <w:ilvl w:val="0"/>
          <w:numId w:val="1"/>
        </w:numPr>
        <w:spacing w:after="80"/>
      </w:pPr>
      <w:r>
        <w:t>Wait times are consistent across all hours of the day (33.9–37.2 minutes) — long waits are not concentrated in any particular shift or overnight period.</w:t>
      </w:r>
    </w:p>
    <w:p w14:paraId="09449B87" w14:textId="05F8CF18" w:rsidR="008F20CB" w:rsidRDefault="00000000">
      <w:pPr>
        <w:pStyle w:val="ListParagraph"/>
        <w:numPr>
          <w:ilvl w:val="0"/>
          <w:numId w:val="1"/>
        </w:numPr>
        <w:spacing w:after="80"/>
      </w:pPr>
      <w:r>
        <w:t>Wait times are also consistent across departments: Neurology and Physiotherapy referrals run slightly longer (36.6–36.8 min) and Renal and General Practice slightly shorter (34.7–34.9 min), but the spread is under 2.5 minutes.</w:t>
      </w:r>
    </w:p>
    <w:p w14:paraId="280F4649" w14:textId="77777777" w:rsidR="008F20CB" w:rsidRDefault="00000000">
      <w:pPr>
        <w:spacing w:after="120"/>
      </w:pPr>
      <w:r>
        <w:rPr>
          <w:b/>
          <w:bCs/>
        </w:rPr>
        <w:t xml:space="preserve">Takeaway: </w:t>
      </w:r>
    </w:p>
    <w:p w14:paraId="6D0839DB" w14:textId="77777777" w:rsidR="008F20CB" w:rsidRDefault="00000000">
      <w:pPr>
        <w:spacing w:after="120"/>
      </w:pPr>
      <w:r>
        <w:t>Missed-target visits are a systemic, hospital-wide issue rather than being driven by a specific department, time slot, or day — pointing to a broader capacity or triage process issue rather than one weak point.</w:t>
      </w:r>
    </w:p>
    <w:p w14:paraId="6FA07081" w14:textId="77777777" w:rsidR="008F20CB" w:rsidRDefault="00000000">
      <w:pPr>
        <w:pStyle w:val="Heading1"/>
        <w:spacing w:before="300" w:after="150"/>
      </w:pPr>
      <w:r>
        <w:t>4. Patient Demographics</w:t>
      </w:r>
    </w:p>
    <w:p w14:paraId="7908FF11" w14:textId="77777777" w:rsidR="008F20CB" w:rsidRDefault="00000000">
      <w:pPr>
        <w:pStyle w:val="ListParagraph"/>
        <w:numPr>
          <w:ilvl w:val="0"/>
          <w:numId w:val="1"/>
        </w:numPr>
        <w:spacing w:after="80"/>
      </w:pPr>
      <w:r>
        <w:t>Gender split is close to even: 51.1% male, 48.7% female, 0.3% not confirmed.</w:t>
      </w:r>
    </w:p>
    <w:p w14:paraId="692E3944" w14:textId="77777777" w:rsidR="008F20CB" w:rsidRDefault="00000000">
      <w:pPr>
        <w:pStyle w:val="ListParagraph"/>
        <w:numPr>
          <w:ilvl w:val="0"/>
          <w:numId w:val="1"/>
        </w:numPr>
        <w:spacing w:after="80"/>
      </w:pPr>
      <w:r>
        <w:t>Age groups are evenly distributed, each between 11.5% and 13.0% of visits — the 30-39 group is the largest (13.0%) and 0-9 the smallest (11.5%), but the spread is minor.</w:t>
      </w:r>
    </w:p>
    <w:p w14:paraId="2D57DCEA" w14:textId="77777777" w:rsidR="008F20CB" w:rsidRDefault="00000000">
      <w:pPr>
        <w:pStyle w:val="ListParagraph"/>
        <w:numPr>
          <w:ilvl w:val="0"/>
          <w:numId w:val="1"/>
        </w:numPr>
        <w:spacing w:after="80"/>
      </w:pPr>
      <w:r>
        <w:t>Race/ethnicity: White patients are the largest group (27.9%), followed by African American (21.2%), Two or More Races (16.9%), Asian (11.5%), Declined to Identify (11.2%), Pacific Islander (6.0%), and Native American/Alaska Native (5.4%).</w:t>
      </w:r>
    </w:p>
    <w:p w14:paraId="1EC2D679" w14:textId="77777777" w:rsidR="008F20CB" w:rsidRDefault="00000000">
      <w:pPr>
        <w:spacing w:after="120"/>
      </w:pPr>
      <w:r>
        <w:rPr>
          <w:b/>
          <w:bCs/>
        </w:rPr>
        <w:t xml:space="preserve">Takeaway: </w:t>
      </w:r>
    </w:p>
    <w:p w14:paraId="33AAB527" w14:textId="4C6537F6" w:rsidR="008F20CB" w:rsidRDefault="00000000">
      <w:pPr>
        <w:spacing w:after="120"/>
      </w:pPr>
      <w:r>
        <w:t>No age, gender, or race group is disproportionately driving volume</w:t>
      </w:r>
      <w:r w:rsidR="00C82B22">
        <w:t>. T</w:t>
      </w:r>
      <w:r>
        <w:t>he patient base is broad and evenly spread, which is useful context when interpreting the wait-time and satisfaction figures below (they are not being skewed by one demographic segment).</w:t>
      </w:r>
    </w:p>
    <w:p w14:paraId="36F460CD" w14:textId="77777777" w:rsidR="008F20CB" w:rsidRDefault="00000000">
      <w:pPr>
        <w:pStyle w:val="Heading1"/>
        <w:spacing w:before="300" w:after="150"/>
      </w:pPr>
      <w:r>
        <w:lastRenderedPageBreak/>
        <w:t>5. Admissions &amp; Department Referrals</w:t>
      </w:r>
    </w:p>
    <w:p w14:paraId="583264D3" w14:textId="77777777" w:rsidR="008F20CB" w:rsidRDefault="00000000">
      <w:pPr>
        <w:pStyle w:val="ListParagraph"/>
        <w:numPr>
          <w:ilvl w:val="0"/>
          <w:numId w:val="1"/>
        </w:numPr>
        <w:spacing w:after="80"/>
      </w:pPr>
      <w:r>
        <w:t>Exactly half of all visits (50.0%) result in admission; the other half are discharged without admission.</w:t>
      </w:r>
    </w:p>
    <w:p w14:paraId="2052D004" w14:textId="77777777" w:rsidR="008F20CB" w:rsidRDefault="00000000">
      <w:pPr>
        <w:pStyle w:val="ListParagraph"/>
        <w:numPr>
          <w:ilvl w:val="0"/>
          <w:numId w:val="1"/>
        </w:numPr>
        <w:spacing w:after="80"/>
      </w:pPr>
      <w:r>
        <w:t>Admission rate is flat across every age group (49–52%), meaning age is not a strong predictor of admission in this dataset.</w:t>
      </w:r>
    </w:p>
    <w:p w14:paraId="2402E95E" w14:textId="77777777" w:rsidR="008F20CB" w:rsidRDefault="00000000">
      <w:pPr>
        <w:pStyle w:val="ListParagraph"/>
        <w:numPr>
          <w:ilvl w:val="0"/>
          <w:numId w:val="1"/>
        </w:numPr>
        <w:spacing w:after="80"/>
      </w:pPr>
      <w:r>
        <w:t>41.4% of patients (3,816) are referred to a follow-on department; 58.6% require no further referral.</w:t>
      </w:r>
    </w:p>
    <w:p w14:paraId="1EBF92AB" w14:textId="77777777" w:rsidR="008F20CB" w:rsidRDefault="00000000">
      <w:pPr>
        <w:pStyle w:val="ListParagraph"/>
        <w:numPr>
          <w:ilvl w:val="0"/>
          <w:numId w:val="1"/>
        </w:numPr>
        <w:spacing w:after="80"/>
      </w:pPr>
      <w:r>
        <w:t>Among those referred, General Practice receives the most referrals (1,840, 48% of all referrals), followed by Orthopedics (995, 26%). Cardiology, Neurology, Gastroenterology, and Renal each receive under 250 referrals.</w:t>
      </w:r>
    </w:p>
    <w:p w14:paraId="366A6398" w14:textId="77777777" w:rsidR="008F20CB" w:rsidRDefault="00000000">
      <w:pPr>
        <w:spacing w:after="120"/>
      </w:pPr>
      <w:r>
        <w:rPr>
          <w:b/>
          <w:bCs/>
        </w:rPr>
        <w:t xml:space="preserve">Takeaway: </w:t>
      </w:r>
    </w:p>
    <w:p w14:paraId="2A7B7DE9" w14:textId="77777777" w:rsidR="008F20CB" w:rsidRDefault="00000000">
      <w:pPr>
        <w:spacing w:after="120"/>
      </w:pPr>
      <w:r>
        <w:t>General Practice and Orthopedics are the two departments most exposed to ER referral volume and downstream capacity pressure.</w:t>
      </w:r>
    </w:p>
    <w:p w14:paraId="5E9A1641" w14:textId="77777777" w:rsidR="008F20CB" w:rsidRDefault="00000000">
      <w:pPr>
        <w:pStyle w:val="Heading1"/>
        <w:spacing w:before="300" w:after="150"/>
      </w:pPr>
      <w:r>
        <w:t>6. Patient Satisfaction</w:t>
      </w:r>
    </w:p>
    <w:p w14:paraId="5854A7CF" w14:textId="77777777" w:rsidR="008F20CB" w:rsidRDefault="00000000">
      <w:pPr>
        <w:pStyle w:val="ListParagraph"/>
        <w:numPr>
          <w:ilvl w:val="0"/>
          <w:numId w:val="1"/>
        </w:numPr>
        <w:spacing w:after="80"/>
      </w:pPr>
      <w:r>
        <w:t>Average satisfaction score is 4.99 out of 10 — a midpoint score, not clearly positive or negative.</w:t>
      </w:r>
    </w:p>
    <w:p w14:paraId="42B69521" w14:textId="77777777" w:rsidR="008F20CB" w:rsidRDefault="00000000">
      <w:pPr>
        <w:pStyle w:val="ListParagraph"/>
        <w:numPr>
          <w:ilvl w:val="0"/>
          <w:numId w:val="1"/>
        </w:numPr>
        <w:spacing w:after="80"/>
      </w:pPr>
      <w:r>
        <w:t>Satisfaction data is only captured for 2,517 of 9,216 visits (27.3%) — a substantial data-completeness gap that should be considered when interpreting satisfaction trends.</w:t>
      </w:r>
    </w:p>
    <w:p w14:paraId="7183E029" w14:textId="77777777" w:rsidR="008F20CB" w:rsidRDefault="00000000">
      <w:pPr>
        <w:pStyle w:val="ListParagraph"/>
        <w:numPr>
          <w:ilvl w:val="0"/>
          <w:numId w:val="1"/>
        </w:numPr>
        <w:spacing w:after="80"/>
      </w:pPr>
      <w:r>
        <w:t>Satisfaction shows almost no correlation with wait time (correlation coefficient ≈ -0.02) — patients who waited longer were not meaningfully less satisfied, at least among those who left a score.</w:t>
      </w:r>
    </w:p>
    <w:p w14:paraId="6B3B888B" w14:textId="77777777" w:rsidR="008F20CB" w:rsidRDefault="00000000">
      <w:pPr>
        <w:pStyle w:val="ListParagraph"/>
        <w:numPr>
          <w:ilvl w:val="0"/>
          <w:numId w:val="1"/>
        </w:numPr>
        <w:spacing w:after="80"/>
      </w:pPr>
      <w:r>
        <w:t>By age group, the 20-29 (5.25) and 0-9 (5.16) groups report the highest satisfaction; 70-79 (4.58) and 10-19 (4.76) report the lowest.</w:t>
      </w:r>
    </w:p>
    <w:p w14:paraId="65F21BE1" w14:textId="77777777" w:rsidR="008F20CB" w:rsidRDefault="00000000">
      <w:pPr>
        <w:spacing w:after="120"/>
      </w:pPr>
      <w:r>
        <w:rPr>
          <w:b/>
          <w:bCs/>
        </w:rPr>
        <w:t xml:space="preserve">Takeaway: </w:t>
      </w:r>
    </w:p>
    <w:p w14:paraId="1424696C" w14:textId="1D8C33F8" w:rsidR="008F20CB" w:rsidRDefault="00000000">
      <w:pPr>
        <w:spacing w:after="120"/>
      </w:pPr>
      <w:r>
        <w:t>Because wait time doesn't explain satisfaction, other factors (e.g., communication, care quality, admission outcome) are likely bigger drivers and the low response rate (27%) limits how confidently these patterns can be generalized.</w:t>
      </w:r>
    </w:p>
    <w:p w14:paraId="53ED102D" w14:textId="77777777" w:rsidR="008F20CB" w:rsidRDefault="00000000">
      <w:pPr>
        <w:pStyle w:val="Heading1"/>
        <w:spacing w:before="300" w:after="150"/>
      </w:pPr>
      <w:r>
        <w:t>7. Recommendations</w:t>
      </w:r>
    </w:p>
    <w:p w14:paraId="4892742D" w14:textId="77777777" w:rsidR="008F20CB" w:rsidRDefault="00000000">
      <w:pPr>
        <w:pStyle w:val="ListParagraph"/>
        <w:numPr>
          <w:ilvl w:val="0"/>
          <w:numId w:val="1"/>
        </w:numPr>
        <w:spacing w:after="80"/>
      </w:pPr>
      <w:r>
        <w:t>Investigate root causes of the 59% target-missed rate hospital-wide (staffing levels, triage process, bed availability) rather than looking for a single at-fault shift or department, since the delay is evenly distributed.</w:t>
      </w:r>
    </w:p>
    <w:p w14:paraId="357FB66B" w14:textId="77777777" w:rsidR="008F20CB" w:rsidRDefault="00000000">
      <w:pPr>
        <w:pStyle w:val="ListParagraph"/>
        <w:numPr>
          <w:ilvl w:val="0"/>
          <w:numId w:val="1"/>
        </w:numPr>
        <w:spacing w:after="80"/>
      </w:pPr>
      <w:r>
        <w:t>Prioritize capacity planning around General Practice and Orthopedics, the two departments absorbing the majority of referral volume.</w:t>
      </w:r>
    </w:p>
    <w:p w14:paraId="7F85F910" w14:textId="77777777" w:rsidR="008F20CB" w:rsidRDefault="00000000">
      <w:pPr>
        <w:pStyle w:val="ListParagraph"/>
        <w:numPr>
          <w:ilvl w:val="0"/>
          <w:numId w:val="1"/>
        </w:numPr>
        <w:spacing w:after="80"/>
      </w:pPr>
      <w:r>
        <w:t>Increase satisfaction survey response rates (currently 27%) to get a more reliable read on patient experience before acting on the current average score.</w:t>
      </w:r>
    </w:p>
    <w:p w14:paraId="51B0E4FB" w14:textId="77777777" w:rsidR="008F20CB" w:rsidRDefault="00000000">
      <w:pPr>
        <w:pStyle w:val="ListParagraph"/>
        <w:numPr>
          <w:ilvl w:val="0"/>
          <w:numId w:val="1"/>
        </w:numPr>
        <w:spacing w:after="80"/>
      </w:pPr>
      <w:r>
        <w:t>Explore non-wait-time drivers of satisfaction (e.g., communication quality, admission vs. discharge experience) given the near-zero correlation between wait time and satisfaction score.</w:t>
      </w:r>
    </w:p>
    <w:p w14:paraId="0A4D48EE" w14:textId="77777777" w:rsidR="008F20CB" w:rsidRDefault="00000000">
      <w:pPr>
        <w:pStyle w:val="ListParagraph"/>
        <w:numPr>
          <w:ilvl w:val="0"/>
          <w:numId w:val="1"/>
        </w:numPr>
        <w:spacing w:after="80"/>
      </w:pPr>
      <w:r>
        <w:t>Since patient volume and demand are stable across days/hours/months, standard staffing levels can likely remain consistent rather than needing peak-time surge planning.</w:t>
      </w:r>
    </w:p>
    <w:p w14:paraId="51F37A79" w14:textId="77777777" w:rsidR="008F20CB" w:rsidRDefault="008F20CB">
      <w:pPr>
        <w:spacing w:before="300"/>
      </w:pPr>
    </w:p>
    <w:sectPr w:rsidR="008F20CB">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10FE4"/>
    <w:multiLevelType w:val="hybridMultilevel"/>
    <w:tmpl w:val="353A4120"/>
    <w:lvl w:ilvl="0" w:tplc="BC80FC78">
      <w:start w:val="1"/>
      <w:numFmt w:val="bullet"/>
      <w:lvlText w:val="●"/>
      <w:lvlJc w:val="left"/>
      <w:pPr>
        <w:ind w:left="720" w:hanging="360"/>
      </w:pPr>
    </w:lvl>
    <w:lvl w:ilvl="1" w:tplc="1500E154">
      <w:start w:val="1"/>
      <w:numFmt w:val="bullet"/>
      <w:lvlText w:val="○"/>
      <w:lvlJc w:val="left"/>
      <w:pPr>
        <w:ind w:left="1440" w:hanging="360"/>
      </w:pPr>
    </w:lvl>
    <w:lvl w:ilvl="2" w:tplc="E0B6551A">
      <w:start w:val="1"/>
      <w:numFmt w:val="bullet"/>
      <w:lvlText w:val="■"/>
      <w:lvlJc w:val="left"/>
      <w:pPr>
        <w:ind w:left="2160" w:hanging="360"/>
      </w:pPr>
    </w:lvl>
    <w:lvl w:ilvl="3" w:tplc="1924E19A">
      <w:start w:val="1"/>
      <w:numFmt w:val="bullet"/>
      <w:lvlText w:val="●"/>
      <w:lvlJc w:val="left"/>
      <w:pPr>
        <w:ind w:left="2880" w:hanging="360"/>
      </w:pPr>
    </w:lvl>
    <w:lvl w:ilvl="4" w:tplc="95986232">
      <w:start w:val="1"/>
      <w:numFmt w:val="bullet"/>
      <w:lvlText w:val="○"/>
      <w:lvlJc w:val="left"/>
      <w:pPr>
        <w:ind w:left="3600" w:hanging="360"/>
      </w:pPr>
    </w:lvl>
    <w:lvl w:ilvl="5" w:tplc="8D9AF566">
      <w:start w:val="1"/>
      <w:numFmt w:val="bullet"/>
      <w:lvlText w:val="■"/>
      <w:lvlJc w:val="left"/>
      <w:pPr>
        <w:ind w:left="4320" w:hanging="360"/>
      </w:pPr>
    </w:lvl>
    <w:lvl w:ilvl="6" w:tplc="080C1D48">
      <w:start w:val="1"/>
      <w:numFmt w:val="bullet"/>
      <w:lvlText w:val="●"/>
      <w:lvlJc w:val="left"/>
      <w:pPr>
        <w:ind w:left="5040" w:hanging="360"/>
      </w:pPr>
    </w:lvl>
    <w:lvl w:ilvl="7" w:tplc="B9CAF72C">
      <w:start w:val="1"/>
      <w:numFmt w:val="bullet"/>
      <w:lvlText w:val="●"/>
      <w:lvlJc w:val="left"/>
      <w:pPr>
        <w:ind w:left="5760" w:hanging="360"/>
      </w:pPr>
    </w:lvl>
    <w:lvl w:ilvl="8" w:tplc="107828F4">
      <w:start w:val="1"/>
      <w:numFmt w:val="bullet"/>
      <w:lvlText w:val="●"/>
      <w:lvlJc w:val="left"/>
      <w:pPr>
        <w:ind w:left="6480" w:hanging="360"/>
      </w:pPr>
    </w:lvl>
  </w:abstractNum>
  <w:num w:numId="1" w16cid:durableId="7891293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0CB"/>
    <w:rsid w:val="008F20CB"/>
    <w:rsid w:val="00C82B22"/>
    <w:rsid w:val="00EB2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0E0DC"/>
  <w15:docId w15:val="{A6C09DB2-4964-42C9-88CF-2307635DD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829</Words>
  <Characters>4731</Characters>
  <Application>Microsoft Office Word</Application>
  <DocSecurity>0</DocSecurity>
  <Lines>39</Lines>
  <Paragraphs>11</Paragraphs>
  <ScaleCrop>false</ScaleCrop>
  <Company/>
  <LinksUpToDate>false</LinksUpToDate>
  <CharactersWithSpaces>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Quang Minh Vu</cp:lastModifiedBy>
  <cp:revision>2</cp:revision>
  <dcterms:created xsi:type="dcterms:W3CDTF">2026-09-01T03:28:00Z</dcterms:created>
  <dcterms:modified xsi:type="dcterms:W3CDTF">2026-09-21T15:56:00Z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f1a8e8ab-4c0c-4ba1-b535-0a05267cee47</vt:lpwstr>
  </property>
</Properties>
</file>