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300" w:lineRule="auto"/>
        <w:jc w:val="center"/>
      </w:pPr>
      <w:r>
        <w:rPr>
          <w:b/>
          <w:i w:val="0"/>
        </w:rPr>
        <w:t>VIETNAM GENERAL CONFEDERATION OF LABOR</w:t>
      </w:r>
    </w:p>
    <w:p>
      <w:pPr>
        <w:spacing w:before="0" w:after="20" w:line="300" w:lineRule="auto"/>
        <w:jc w:val="center"/>
      </w:pPr>
      <w:r>
        <w:rPr>
          <w:b/>
          <w:i w:val="0"/>
        </w:rPr>
        <w:t>TON DUC THANG UNIVERSITY</w:t>
      </w:r>
    </w:p>
    <w:p>
      <w:pPr>
        <w:spacing w:before="0" w:after="700" w:line="300" w:lineRule="auto"/>
        <w:jc w:val="center"/>
      </w:pPr>
      <w:r>
        <w:rPr>
          <w:b/>
          <w:i w:val="0"/>
        </w:rPr>
        <w:t>FACULTY OF INFORMATION TECHNOLOGY</w:t>
      </w:r>
    </w:p>
    <w:p>
      <w:pPr>
        <w:spacing w:before="0" w:after="1100" w:line="300" w:lineRule="auto"/>
        <w:jc w:val="center"/>
      </w:pPr>
      <w:r>
        <w:rPr>
          <w:b/>
          <w:i w:val="0"/>
        </w:rPr>
        <w:t>VÕ XUÂN QUANG – 523H0173</w:t>
      </w:r>
    </w:p>
    <w:p>
      <w:pPr>
        <w:spacing w:before="0" w:after="240" w:line="300" w:lineRule="auto"/>
        <w:jc w:val="center"/>
      </w:pPr>
      <w:r>
        <w:rPr>
          <w:b/>
          <w:i w:val="0"/>
        </w:rPr>
        <w:t>FINAL COURSE REPORT</w:t>
      </w:r>
    </w:p>
    <w:p>
      <w:pPr>
        <w:spacing w:before="0" w:after="520" w:line="300" w:lineRule="auto"/>
        <w:jc w:val="center"/>
      </w:pPr>
      <w:r>
        <w:rPr>
          <w:b/>
          <w:i w:val="0"/>
        </w:rPr>
        <w:t>DATA ANALYSIS</w:t>
      </w:r>
    </w:p>
    <w:p>
      <w:pPr>
        <w:spacing w:before="0" w:after="1100" w:line="300" w:lineRule="auto"/>
        <w:jc w:val="center"/>
      </w:pPr>
      <w:r>
        <w:rPr>
          <w:b/>
          <w:i w:val="0"/>
        </w:rPr>
        <w:t>DATA QUALITY AND THE ASSOCIATION BETWEEN BODY MASS INDEX AND SYSTOLIC BLOOD PRESSURE IN COMMUNITY PERIODIC HEALTH SCREENING IN 2026</w:t>
      </w:r>
    </w:p>
    <w:p>
      <w:pPr>
        <w:spacing w:before="0" w:after="120" w:line="300" w:lineRule="auto"/>
        <w:jc w:val="center"/>
      </w:pPr>
      <w:r>
        <w:rPr>
          <w:b/>
          <w:i w:val="0"/>
        </w:rPr>
        <w:t>HO CHI MINH CITY, 2026</w:t>
      </w:r>
    </w:p>
    <w:p>
      <w:r>
        <w:br w:type="page"/>
      </w:r>
    </w:p>
    <w:p>
      <w:pPr>
        <w:spacing w:before="0" w:after="20" w:line="300" w:lineRule="auto"/>
        <w:jc w:val="center"/>
      </w:pPr>
      <w:r>
        <w:rPr>
          <w:b/>
          <w:i w:val="0"/>
        </w:rPr>
        <w:t>VIETNAM GENERAL CONFEDERATION OF LABOR</w:t>
      </w:r>
    </w:p>
    <w:p>
      <w:pPr>
        <w:spacing w:before="0" w:after="20" w:line="300" w:lineRule="auto"/>
        <w:jc w:val="center"/>
      </w:pPr>
      <w:r>
        <w:rPr>
          <w:b/>
          <w:i w:val="0"/>
        </w:rPr>
        <w:t>TON DUC THANG UNIVERSITY</w:t>
      </w:r>
    </w:p>
    <w:p>
      <w:pPr>
        <w:spacing w:before="0" w:after="640" w:line="300" w:lineRule="auto"/>
        <w:jc w:val="center"/>
      </w:pPr>
      <w:r>
        <w:rPr>
          <w:b/>
          <w:i w:val="0"/>
        </w:rPr>
        <w:t>FACULTY OF INFORMATION TECHNOLOGY</w:t>
      </w:r>
    </w:p>
    <w:p>
      <w:pPr>
        <w:spacing w:before="0" w:after="840" w:line="300" w:lineRule="auto"/>
        <w:jc w:val="center"/>
      </w:pPr>
      <w:r>
        <w:rPr>
          <w:b/>
          <w:i w:val="0"/>
        </w:rPr>
        <w:t>VÕ XUÂN QUANG – 523H0173</w:t>
      </w:r>
    </w:p>
    <w:p>
      <w:pPr>
        <w:spacing w:before="0" w:after="200" w:line="300" w:lineRule="auto"/>
        <w:jc w:val="center"/>
      </w:pPr>
      <w:r>
        <w:rPr>
          <w:b/>
          <w:i w:val="0"/>
        </w:rPr>
        <w:t>FINAL COURSE REPORT</w:t>
      </w:r>
    </w:p>
    <w:p>
      <w:pPr>
        <w:spacing w:before="0" w:after="440" w:line="300" w:lineRule="auto"/>
        <w:jc w:val="center"/>
      </w:pPr>
      <w:r>
        <w:rPr>
          <w:b/>
          <w:i w:val="0"/>
        </w:rPr>
        <w:t>DATA ANALYSIS</w:t>
      </w:r>
    </w:p>
    <w:p>
      <w:pPr>
        <w:spacing w:before="0" w:after="800" w:line="300" w:lineRule="auto"/>
        <w:jc w:val="center"/>
      </w:pPr>
      <w:r>
        <w:rPr>
          <w:b/>
          <w:i w:val="0"/>
        </w:rPr>
        <w:t>DATA QUALITY AND THE ASSOCIATION BETWEEN BODY MASS INDEX AND SYSTOLIC BLOOD PRESSURE IN COMMUNITY PERIODIC HEALTH SCREENING IN 2026</w:t>
      </w:r>
    </w:p>
    <w:p>
      <w:pPr>
        <w:spacing w:before="0" w:after="60" w:line="300" w:lineRule="auto"/>
        <w:jc w:val="center"/>
      </w:pPr>
      <w:r>
        <w:rPr>
          <w:b w:val="0"/>
          <w:i w:val="0"/>
        </w:rPr>
        <w:t>Advised by</w:t>
      </w:r>
    </w:p>
    <w:p>
      <w:pPr>
        <w:spacing w:before="0" w:after="900" w:line="300" w:lineRule="auto"/>
        <w:jc w:val="center"/>
      </w:pPr>
      <w:r>
        <w:rPr>
          <w:b/>
          <w:i w:val="0"/>
        </w:rPr>
        <w:t>Course instructor</w:t>
      </w:r>
    </w:p>
    <w:p>
      <w:pPr>
        <w:spacing w:before="0" w:after="120" w:line="300" w:lineRule="auto"/>
        <w:jc w:val="center"/>
      </w:pPr>
      <w:r>
        <w:rPr>
          <w:b/>
          <w:i w:val="0"/>
        </w:rPr>
        <w:t>HO CHI MINH CITY, 2026</w:t>
      </w:r>
    </w:p>
    <w:p>
      <w:r>
        <w:br w:type="page"/>
      </w:r>
    </w:p>
    <w:p>
      <w:pPr>
        <w:pStyle w:val="ResearchHeading1"/>
      </w:pPr>
      <w:r>
        <w:t>ACKNOWLEDGEMENT</w:t>
      </w:r>
    </w:p>
    <w:p>
      <w:pPr>
        <w:spacing w:before="0" w:after="120" w:line="300" w:lineRule="auto"/>
      </w:pPr>
      <w:r>
        <w:rPr>
          <w:b w:val="0"/>
          <w:i w:val="0"/>
        </w:rPr>
        <w:t>I respectfully acknowledge the guidance provided by the course instructor and the Faculty of Information Technology. This report was prepared for academic assessment in Data Analysis. The study uses de-identified screening data and is presented solely for educational and research purposes.</w:t>
      </w:r>
    </w:p>
    <w:p>
      <w:pPr>
        <w:spacing w:before="0" w:after="40" w:line="300" w:lineRule="auto"/>
        <w:jc w:val="right"/>
      </w:pPr>
      <w:r>
        <w:rPr>
          <w:b w:val="0"/>
          <w:i w:val="0"/>
        </w:rPr>
        <w:t>Ho Chi Minh City, October 2026</w:t>
      </w:r>
    </w:p>
    <w:p>
      <w:pPr>
        <w:spacing w:before="0" w:after="440" w:line="300" w:lineRule="auto"/>
        <w:jc w:val="right"/>
      </w:pPr>
      <w:r>
        <w:rPr>
          <w:b w:val="0"/>
          <w:i w:val="0"/>
        </w:rPr>
        <w:t>Author</w:t>
      </w:r>
    </w:p>
    <w:p>
      <w:pPr>
        <w:spacing w:before="0" w:after="120" w:line="300" w:lineRule="auto"/>
        <w:jc w:val="right"/>
      </w:pPr>
      <w:r>
        <w:rPr>
          <w:b/>
          <w:i w:val="0"/>
        </w:rPr>
        <w:t>Võ Xuân Quang</w:t>
      </w:r>
    </w:p>
    <w:p>
      <w:r>
        <w:br w:type="page"/>
      </w:r>
    </w:p>
    <w:p>
      <w:pPr>
        <w:pStyle w:val="ResearchHeading1"/>
      </w:pPr>
      <w:r>
        <w:t>DECLARATION OF AUTHORSHIP</w:t>
      </w:r>
    </w:p>
    <w:p>
      <w:pPr>
        <w:spacing w:before="0" w:after="120" w:line="300" w:lineRule="auto"/>
      </w:pPr>
      <w:r>
        <w:rPr>
          <w:b w:val="0"/>
          <w:i w:val="0"/>
        </w:rPr>
        <w:t>I declare that this report is my own academic work. The analysis, interpretation, figures, tables, and conclusions were prepared for this course using the stated analytical procedures. Published studies are cited where their ideas or findings are discussed. The released research materials exclude direct identifiers and do not contain the original identifiable source records.</w:t>
      </w:r>
    </w:p>
    <w:p>
      <w:pPr>
        <w:spacing w:before="0" w:after="120" w:line="300" w:lineRule="auto"/>
      </w:pPr>
      <w:r>
        <w:rPr>
          <w:b w:val="0"/>
          <w:i w:val="0"/>
        </w:rPr>
        <w:t>I understand that the results describe statistical associations in the study sample. They are not individual diagnoses, treatment recommendations, causal conclusions, or nationally representative estimates.</w:t>
      </w:r>
    </w:p>
    <w:p>
      <w:pPr>
        <w:spacing w:before="0" w:after="40" w:line="300" w:lineRule="auto"/>
        <w:jc w:val="right"/>
      </w:pPr>
      <w:r>
        <w:rPr>
          <w:b w:val="0"/>
          <w:i w:val="0"/>
        </w:rPr>
        <w:t>Ho Chi Minh City, October 2026</w:t>
      </w:r>
    </w:p>
    <w:p>
      <w:pPr>
        <w:spacing w:before="0" w:after="440" w:line="300" w:lineRule="auto"/>
        <w:jc w:val="right"/>
      </w:pPr>
      <w:r>
        <w:rPr>
          <w:b w:val="0"/>
          <w:i w:val="0"/>
        </w:rPr>
        <w:t>Author</w:t>
      </w:r>
    </w:p>
    <w:p>
      <w:pPr>
        <w:spacing w:before="0" w:after="120" w:line="300" w:lineRule="auto"/>
        <w:jc w:val="right"/>
      </w:pPr>
      <w:r>
        <w:rPr>
          <w:b/>
          <w:i w:val="0"/>
        </w:rPr>
        <w:t>Võ Xuân Quang</w:t>
      </w:r>
    </w:p>
    <w:p>
      <w:r>
        <w:br w:type="page"/>
      </w:r>
    </w:p>
    <w:p>
      <w:pPr>
        <w:pStyle w:val="ResearchHeading1"/>
      </w:pPr>
      <w:r>
        <w:t>ABSTRACT</w:t>
      </w:r>
    </w:p>
    <w:p>
      <w:pPr>
        <w:spacing w:before="0" w:after="120" w:line="300" w:lineRule="auto"/>
      </w:pPr>
      <w:r>
        <w:rPr>
          <w:b w:val="0"/>
          <w:i w:val="0"/>
        </w:rPr>
        <w:t>Background: Body mass index (BMI) and blood pressure are routinely collected in community health screening, yet their analytical value depends on data quality, transparent statistical assumptions, and cautious interpretation. Objective: To describe the quality and distribution of de-identified periodic screening data and to evaluate the association between BMI and systolic blood pressure (SBP) after accounting for age, sex, and pulse rate. Methods: This cross-sectional secondary analysis included 7,146 valid screening encounters among adults aged 18–59 years. Exploratory analysis, distribution diagnostics, Welch t-tests, ANOVA and Welch ANOVA, Chi-square tests, Pearson and Spearman correlations, multiple linear regression, residual diagnostics, and a repeat-record sensitivity analysis were performed. Results: BMI and SBP were right-skewed and not completely normally distributed. BMI was positively correlated with SBP (Pearson r = 0.287; Spearman ρ = 0.335; both p &lt; 0.001). In the adjusted model, each 1 kg/m² higher BMI was associated with 0.861 mmHg higher SBP (95% CI: 0.778–0.944; p &lt; 0.001). The screening-flag proportion increased from 6.6% for BMI &lt;18.5 to 38.3% for BMI ≥30. Excluding 118 source-repeat-flagged encounters produced a similar BMI coefficient (0.852 mmHg). Conclusion: BMI was statistically associated with SBP and the screening flag within this sample. Findings support screening prioritisation, not diagnosis or causal inference.</w:t>
      </w:r>
    </w:p>
    <w:p>
      <w:pPr>
        <w:spacing w:before="0" w:after="120" w:line="300" w:lineRule="auto"/>
      </w:pPr>
      <w:r>
        <w:rPr>
          <w:b w:val="0"/>
          <w:i/>
        </w:rPr>
        <w:t>Keywords: body mass index; systolic blood pressure; community screening; cross-sectional analysis; multiple linear regression.</w:t>
      </w:r>
    </w:p>
    <w:p>
      <w:r>
        <w:br w:type="page"/>
      </w:r>
    </w:p>
    <w:p>
      <w:pPr>
        <w:pStyle w:val="ResearchHeading1"/>
      </w:pPr>
      <w:r>
        <w:t>TABLE OF CONTENTS</w:t>
      </w:r>
    </w:p>
    <w:p>
      <w:pPr>
        <w:spacing w:before="0" w:after="60" w:line="300" w:lineRule="auto"/>
      </w:pPr>
      <w:r>
        <w:rPr>
          <w:b w:val="0"/>
          <w:i w:val="0"/>
        </w:rPr>
        <w:t>ABSTRACT</w:t>
      </w:r>
    </w:p>
    <w:p>
      <w:pPr>
        <w:spacing w:before="0" w:after="60" w:line="300" w:lineRule="auto"/>
      </w:pPr>
      <w:r>
        <w:rPr>
          <w:b w:val="0"/>
          <w:i w:val="0"/>
        </w:rPr>
        <w:t>LIST OF ABBREVIATIONS</w:t>
      </w:r>
    </w:p>
    <w:p>
      <w:pPr>
        <w:spacing w:before="0" w:after="60" w:line="300" w:lineRule="auto"/>
      </w:pPr>
      <w:r>
        <w:rPr>
          <w:b w:val="0"/>
          <w:i w:val="0"/>
        </w:rPr>
        <w:t>CHAPTER 1. INTRODUCTION</w:t>
      </w:r>
    </w:p>
    <w:p>
      <w:pPr>
        <w:spacing w:before="0" w:after="60" w:line="300" w:lineRule="auto"/>
      </w:pPr>
      <w:r>
        <w:rPr>
          <w:b w:val="0"/>
          <w:i w:val="0"/>
        </w:rPr>
        <w:t>CHAPTER 2. LITERATURE REVIEW AND CONCEPTUAL BASIS</w:t>
      </w:r>
    </w:p>
    <w:p>
      <w:pPr>
        <w:spacing w:before="0" w:after="60" w:line="300" w:lineRule="auto"/>
      </w:pPr>
      <w:r>
        <w:rPr>
          <w:b w:val="0"/>
          <w:i w:val="0"/>
        </w:rPr>
        <w:t>CHAPTER 3. DATA AND METHODS</w:t>
      </w:r>
    </w:p>
    <w:p>
      <w:pPr>
        <w:spacing w:before="0" w:after="60" w:line="300" w:lineRule="auto"/>
      </w:pPr>
      <w:r>
        <w:rPr>
          <w:b w:val="0"/>
          <w:i w:val="0"/>
        </w:rPr>
        <w:t>CHAPTER 4. RESULTS</w:t>
      </w:r>
    </w:p>
    <w:p>
      <w:pPr>
        <w:spacing w:before="0" w:after="60" w:line="300" w:lineRule="auto"/>
      </w:pPr>
      <w:r>
        <w:rPr>
          <w:b w:val="0"/>
          <w:i w:val="0"/>
        </w:rPr>
        <w:t>CHAPTER 5. DISCUSSION</w:t>
      </w:r>
    </w:p>
    <w:p>
      <w:pPr>
        <w:spacing w:before="0" w:after="60" w:line="300" w:lineRule="auto"/>
      </w:pPr>
      <w:r>
        <w:rPr>
          <w:b w:val="0"/>
          <w:i w:val="0"/>
        </w:rPr>
        <w:t>CHAPTER 6. CONCLUSION AND RECOMMENDATIONS</w:t>
      </w:r>
    </w:p>
    <w:p>
      <w:pPr>
        <w:spacing w:before="0" w:after="60" w:line="300" w:lineRule="auto"/>
      </w:pPr>
      <w:r>
        <w:rPr>
          <w:b w:val="0"/>
          <w:i w:val="0"/>
        </w:rPr>
        <w:t>REFERENCES</w:t>
      </w:r>
    </w:p>
    <w:p>
      <w:pPr>
        <w:spacing w:before="0" w:after="60" w:line="300" w:lineRule="auto"/>
      </w:pPr>
      <w:r>
        <w:rPr>
          <w:b w:val="0"/>
          <w:i w:val="0"/>
        </w:rPr>
        <w:t>APPENDICES</w:t>
      </w:r>
    </w:p>
    <w:p>
      <w:r>
        <w:br w:type="page"/>
      </w:r>
    </w:p>
    <w:p>
      <w:pPr>
        <w:pStyle w:val="ResearchHeading1"/>
      </w:pPr>
      <w:r>
        <w:t>LIST OF ABBREVIATIONS</w:t>
      </w:r>
    </w:p>
    <w:tbl>
      <w:tblPr>
        <w:tblStyle w:val="TableGrid"/>
        <w:tblW w:type="auto" w:w="0"/>
        <w:tblLayout w:type="autofit"/>
        <w:tblLook w:firstColumn="1" w:firstRow="1" w:lastColumn="0" w:lastRow="0" w:noHBand="0" w:noVBand="1" w:val="04A0"/>
      </w:tblPr>
      <w:tblGrid>
        <w:gridCol w:w="4392"/>
        <w:gridCol w:w="4392"/>
      </w:tblGrid>
      <w:tr>
        <w:trPr>
          <w:tblHeader w:val="true"/>
        </w:trPr>
        <w:tc>
          <w:tcPr>
            <w:tcW w:type="dxa" w:w="4392"/>
            <w:shd w:fill="1F4E78"/>
          </w:tcPr>
          <w:p>
            <w:r>
              <w:rPr>
                <w:b/>
                <w:sz w:val="19"/>
              </w:rPr>
              <w:t>Abbreviation</w:t>
            </w:r>
          </w:p>
        </w:tc>
        <w:tc>
          <w:tcPr>
            <w:tcW w:type="dxa" w:w="4392"/>
            <w:shd w:fill="1F4E78"/>
          </w:tcPr>
          <w:p>
            <w:r>
              <w:rPr>
                <w:b/>
                <w:sz w:val="19"/>
              </w:rPr>
              <w:t>Meaning</w:t>
            </w:r>
          </w:p>
        </w:tc>
      </w:tr>
      <w:tr>
        <w:trPr>
          <w:cantSplit/>
        </w:trPr>
        <w:tc>
          <w:tcPr>
            <w:tcW w:type="dxa" w:w="4392"/>
          </w:tcPr>
          <w:p>
            <w:r>
              <w:rPr>
                <w:sz w:val="19"/>
              </w:rPr>
              <w:t>BMI</w:t>
            </w:r>
          </w:p>
        </w:tc>
        <w:tc>
          <w:tcPr>
            <w:tcW w:type="dxa" w:w="4392"/>
          </w:tcPr>
          <w:p>
            <w:r>
              <w:rPr>
                <w:sz w:val="19"/>
              </w:rPr>
              <w:t>Body mass index</w:t>
            </w:r>
          </w:p>
        </w:tc>
      </w:tr>
      <w:tr>
        <w:trPr>
          <w:cantSplit/>
        </w:trPr>
        <w:tc>
          <w:tcPr>
            <w:tcW w:type="dxa" w:w="4392"/>
            <w:shd w:fill="EDF4FA"/>
          </w:tcPr>
          <w:p>
            <w:r>
              <w:rPr>
                <w:sz w:val="19"/>
              </w:rPr>
              <w:t>SBP</w:t>
            </w:r>
          </w:p>
        </w:tc>
        <w:tc>
          <w:tcPr>
            <w:tcW w:type="dxa" w:w="4392"/>
            <w:shd w:fill="EDF4FA"/>
          </w:tcPr>
          <w:p>
            <w:r>
              <w:rPr>
                <w:sz w:val="19"/>
              </w:rPr>
              <w:t>Systolic blood pressure</w:t>
            </w:r>
          </w:p>
        </w:tc>
      </w:tr>
      <w:tr>
        <w:trPr>
          <w:cantSplit/>
        </w:trPr>
        <w:tc>
          <w:tcPr>
            <w:tcW w:type="dxa" w:w="4392"/>
          </w:tcPr>
          <w:p>
            <w:r>
              <w:rPr>
                <w:sz w:val="19"/>
              </w:rPr>
              <w:t>DBP</w:t>
            </w:r>
          </w:p>
        </w:tc>
        <w:tc>
          <w:tcPr>
            <w:tcW w:type="dxa" w:w="4392"/>
          </w:tcPr>
          <w:p>
            <w:r>
              <w:rPr>
                <w:sz w:val="19"/>
              </w:rPr>
              <w:t>Diastolic blood pressure</w:t>
            </w:r>
          </w:p>
        </w:tc>
      </w:tr>
      <w:tr>
        <w:trPr>
          <w:cantSplit/>
        </w:trPr>
        <w:tc>
          <w:tcPr>
            <w:tcW w:type="dxa" w:w="4392"/>
            <w:shd w:fill="EDF4FA"/>
          </w:tcPr>
          <w:p>
            <w:r>
              <w:rPr>
                <w:sz w:val="19"/>
              </w:rPr>
              <w:t>IQR</w:t>
            </w:r>
          </w:p>
        </w:tc>
        <w:tc>
          <w:tcPr>
            <w:tcW w:type="dxa" w:w="4392"/>
            <w:shd w:fill="EDF4FA"/>
          </w:tcPr>
          <w:p>
            <w:r>
              <w:rPr>
                <w:sz w:val="19"/>
              </w:rPr>
              <w:t>Interquartile range</w:t>
            </w:r>
          </w:p>
        </w:tc>
      </w:tr>
      <w:tr>
        <w:trPr>
          <w:cantSplit/>
        </w:trPr>
        <w:tc>
          <w:tcPr>
            <w:tcW w:type="dxa" w:w="4392"/>
          </w:tcPr>
          <w:p>
            <w:r>
              <w:rPr>
                <w:sz w:val="19"/>
              </w:rPr>
              <w:t>CI</w:t>
            </w:r>
          </w:p>
        </w:tc>
        <w:tc>
          <w:tcPr>
            <w:tcW w:type="dxa" w:w="4392"/>
          </w:tcPr>
          <w:p>
            <w:r>
              <w:rPr>
                <w:sz w:val="19"/>
              </w:rPr>
              <w:t>Confidence interval</w:t>
            </w:r>
          </w:p>
        </w:tc>
      </w:tr>
      <w:tr>
        <w:trPr>
          <w:cantSplit/>
        </w:trPr>
        <w:tc>
          <w:tcPr>
            <w:tcW w:type="dxa" w:w="4392"/>
            <w:shd w:fill="EDF4FA"/>
          </w:tcPr>
          <w:p>
            <w:r>
              <w:rPr>
                <w:sz w:val="19"/>
              </w:rPr>
              <w:t>VIF</w:t>
            </w:r>
          </w:p>
        </w:tc>
        <w:tc>
          <w:tcPr>
            <w:tcW w:type="dxa" w:w="4392"/>
            <w:shd w:fill="EDF4FA"/>
          </w:tcPr>
          <w:p>
            <w:r>
              <w:rPr>
                <w:sz w:val="19"/>
              </w:rPr>
              <w:t>Variance inflation factor</w:t>
            </w:r>
          </w:p>
        </w:tc>
      </w:tr>
      <w:tr>
        <w:trPr>
          <w:cantSplit/>
        </w:trPr>
        <w:tc>
          <w:tcPr>
            <w:tcW w:type="dxa" w:w="4392"/>
          </w:tcPr>
          <w:p>
            <w:r>
              <w:rPr>
                <w:sz w:val="19"/>
              </w:rPr>
              <w:t>OLS</w:t>
            </w:r>
          </w:p>
        </w:tc>
        <w:tc>
          <w:tcPr>
            <w:tcW w:type="dxa" w:w="4392"/>
          </w:tcPr>
          <w:p>
            <w:r>
              <w:rPr>
                <w:sz w:val="19"/>
              </w:rPr>
              <w:t>Ordinary least squares</w:t>
            </w:r>
          </w:p>
        </w:tc>
      </w:tr>
      <w:tr>
        <w:trPr>
          <w:cantSplit/>
        </w:trPr>
        <w:tc>
          <w:tcPr>
            <w:tcW w:type="dxa" w:w="4392"/>
            <w:shd w:fill="EDF4FA"/>
          </w:tcPr>
          <w:p>
            <w:r>
              <w:rPr>
                <w:sz w:val="19"/>
              </w:rPr>
              <w:t>EDA</w:t>
            </w:r>
          </w:p>
        </w:tc>
        <w:tc>
          <w:tcPr>
            <w:tcW w:type="dxa" w:w="4392"/>
            <w:shd w:fill="EDF4FA"/>
          </w:tcPr>
          <w:p>
            <w:r>
              <w:rPr>
                <w:sz w:val="19"/>
              </w:rPr>
              <w:t>Exploratory data analysis</w:t>
            </w:r>
          </w:p>
        </w:tc>
      </w:tr>
    </w:tbl>
    <w:p>
      <w:pPr>
        <w:spacing w:before="0" w:after="60" w:line="300" w:lineRule="auto"/>
      </w:pPr>
      <w:r>
        <w:rPr>
          <w:b w:val="0"/>
          <w:i w:val="0"/>
        </w:rPr>
      </w:r>
    </w:p>
    <w:p>
      <w:r>
        <w:br w:type="page"/>
      </w:r>
    </w:p>
    <w:p>
      <w:pPr>
        <w:pStyle w:val="ResearchHeading1"/>
      </w:pPr>
      <w:r>
        <w:t>CHAPTER 1. INTRODUCTION</w:t>
      </w:r>
    </w:p>
    <w:p>
      <w:pPr>
        <w:pStyle w:val="ResearchHeading2"/>
      </w:pPr>
      <w:r>
        <w:t>1.1 Background</w:t>
      </w:r>
    </w:p>
    <w:p>
      <w:pPr>
        <w:spacing w:before="0" w:after="120" w:line="300" w:lineRule="auto"/>
      </w:pPr>
      <w:r>
        <w:rPr>
          <w:b w:val="0"/>
          <w:i w:val="0"/>
        </w:rPr>
        <w:t>Cardiometabolic risk prevention depends partly on timely identification of modifiable risk patterns. Periodic community screening commonly records height, weight, pulse, and blood pressure, creating an opportunity to describe population-facing screening patterns. BMI is inexpensive and easy to calculate, while SBP is a clinically meaningful continuous measurement. However, neither metric alone provides a diagnosis, and a rigorous analysis must distinguish statistical association from causation or clinical decision-making.</w:t>
      </w:r>
    </w:p>
    <w:p>
      <w:pPr>
        <w:pStyle w:val="ResearchHeading2"/>
      </w:pPr>
      <w:r>
        <w:t>1.2 Problem statement and research gap</w:t>
      </w:r>
    </w:p>
    <w:p>
      <w:pPr>
        <w:spacing w:before="0" w:after="120" w:line="300" w:lineRule="auto"/>
      </w:pPr>
      <w:r>
        <w:rPr>
          <w:b w:val="0"/>
          <w:i w:val="0"/>
        </w:rPr>
        <w:t>Simple descriptive counts of overweight or elevated blood pressure do not answer whether BMI remains associated with SBP after accounting for demographic and physiological covariates. Moreover, health-screening records require explicit quality checks, distribution assessment, outlier auditing, and robustness analysis before they can support a defensible conclusion.</w:t>
      </w:r>
    </w:p>
    <w:p>
      <w:pPr>
        <w:pStyle w:val="ResearchHeading2"/>
      </w:pPr>
      <w:r>
        <w:t>1.3 Objectives and research questions</w:t>
      </w:r>
    </w:p>
    <w:p>
      <w:pPr>
        <w:spacing w:after="40"/>
        <w:ind w:left="360" w:hanging="230"/>
      </w:pPr>
      <w:r>
        <w:t>• Describe completeness, duplicate status, outlier flags, and the distributions of key variables.</w:t>
      </w:r>
    </w:p>
    <w:p>
      <w:pPr>
        <w:spacing w:after="40"/>
        <w:ind w:left="360" w:hanging="230"/>
      </w:pPr>
      <w:r>
        <w:t>• Test whether SBP differs by sex, BMI group, and age group.</w:t>
      </w:r>
    </w:p>
    <w:p>
      <w:pPr>
        <w:spacing w:after="40"/>
        <w:ind w:left="360" w:hanging="230"/>
      </w:pPr>
      <w:r>
        <w:t>• Test whether BMI group is associated with the SBP/DBP screening flag.</w:t>
      </w:r>
    </w:p>
    <w:p>
      <w:pPr>
        <w:spacing w:after="40"/>
        <w:ind w:left="360" w:hanging="230"/>
      </w:pPr>
      <w:r>
        <w:t>• Estimate Pearson and Spearman associations between BMI and SBP.</w:t>
      </w:r>
    </w:p>
    <w:p>
      <w:pPr>
        <w:spacing w:after="40"/>
        <w:ind w:left="360" w:hanging="230"/>
      </w:pPr>
      <w:r>
        <w:t>• Estimate the adjusted association using the model SBP ~ BMI + age + sex + pulse.</w:t>
      </w:r>
    </w:p>
    <w:p>
      <w:pPr>
        <w:spacing w:after="40"/>
        <w:ind w:left="360" w:hanging="230"/>
      </w:pPr>
      <w:r>
        <w:t>• Evaluate whether the BMI coefficient remains stable after excluding repeat-flagged encounters.</w:t>
      </w:r>
    </w:p>
    <w:p>
      <w:pPr>
        <w:pStyle w:val="ResearchHeading2"/>
      </w:pPr>
      <w:r>
        <w:t>1.4 Scope and contribution</w:t>
      </w:r>
    </w:p>
    <w:p>
      <w:pPr>
        <w:spacing w:before="0" w:after="120" w:line="300" w:lineRule="auto"/>
      </w:pPr>
      <w:r>
        <w:rPr>
          <w:b w:val="0"/>
          <w:i w:val="0"/>
        </w:rPr>
        <w:t>The unit of analysis is one valid screening encounter. The report contributes an auditable workflow combining EDA, assumption-aware inference, effect sizes and confidence intervals, stratified visualisation, and sensitivity analysis. It does not estimate causal effects, diagnose hypertension, or claim national representativeness.</w:t>
      </w:r>
    </w:p>
    <w:p>
      <w:r>
        <w:br w:type="page"/>
      </w:r>
    </w:p>
    <w:p>
      <w:pPr>
        <w:pStyle w:val="ResearchHeading1"/>
      </w:pPr>
      <w:r>
        <w:t>CHAPTER 2. LITERATURE REVIEW AND CONCEPTUAL BASIS</w:t>
      </w:r>
    </w:p>
    <w:p>
      <w:pPr>
        <w:pStyle w:val="ResearchHeading2"/>
      </w:pPr>
      <w:r>
        <w:t>2.1 BMI and screening interpretation</w:t>
      </w:r>
    </w:p>
    <w:p>
      <w:pPr>
        <w:spacing w:before="0" w:after="120" w:line="300" w:lineRule="auto"/>
      </w:pPr>
      <w:r>
        <w:rPr>
          <w:b w:val="0"/>
          <w:i w:val="0"/>
        </w:rPr>
        <w:t>BMI is calculated from body weight divided by squared height. It is useful for population screening but does not directly measure abdominal adiposity, body composition, medication use, diet, or physical activity. Therefore, it should be interpreted as one screening characteristic rather than a complete cardiometabolic profile.</w:t>
      </w:r>
    </w:p>
    <w:p>
      <w:pPr>
        <w:jc w:val="center"/>
      </w:pPr>
      <m:oMathPara>
        <m:oMath>
          <m:r>
            <m:t>BMI = weight (kg) / [height (m)]²</m:t>
          </m:r>
        </m:oMath>
      </m:oMathPara>
    </w:p>
    <w:p>
      <w:pPr>
        <w:pStyle w:val="Caption"/>
        <w:spacing w:before="0" w:after="160" w:line="300" w:lineRule="auto"/>
        <w:jc w:val="center"/>
      </w:pPr>
      <w:r>
        <w:rPr>
          <w:b w:val="0"/>
          <w:i w:val="0"/>
        </w:rPr>
        <w:t>Equation 1. Body mass index.</w:t>
      </w:r>
    </w:p>
    <w:p>
      <w:pPr>
        <w:pStyle w:val="ResearchHeading2"/>
      </w:pPr>
      <w:r>
        <w:t>2.2 Blood pressure and the screening flag</w:t>
      </w:r>
    </w:p>
    <w:p>
      <w:pPr>
        <w:spacing w:before="0" w:after="120" w:line="300" w:lineRule="auto"/>
      </w:pPr>
      <w:r>
        <w:rPr>
          <w:b w:val="0"/>
          <w:i w:val="0"/>
        </w:rPr>
        <w:t>SBP is analysed continuously because it preserves information across the observed range. The dataset also contains a binary screening flag based on SBP/DBP ≥140/90. This flag is used for descriptive and association analyses only; it is not treated as a confirmed hypertension diagnosis because clinical confirmation requires appropriate measurement and clinical assessment.</w:t>
      </w:r>
    </w:p>
    <w:p>
      <w:pPr>
        <w:pStyle w:val="ResearchHeading2"/>
      </w:pPr>
      <w:r>
        <w:t>2.3 Analytical evidence in Vietnam</w:t>
      </w:r>
    </w:p>
    <w:p>
      <w:pPr>
        <w:spacing w:before="0" w:after="120" w:line="300" w:lineRule="auto"/>
      </w:pPr>
      <w:r>
        <w:rPr>
          <w:b w:val="0"/>
          <w:i w:val="0"/>
        </w:rPr>
        <w:t>Vietnamese cross-sectional studies have reported relationships between anthropometric indices and elevated blood pressure. Nguyen Minh and Nguyen Vo examined anthropometric indices in Vietnamese adults; Wang and colleagues highlighted the relevance of BMI and waist circumference; Nguyen Duc and colleagues reported BMI- and waist-related blood-pressure patterns in northern mountainous populations. These studies provide context, but their settings, measurement protocols, covariates, and samples differ from the present dataset.</w:t>
      </w:r>
    </w:p>
    <w:p>
      <w:pPr>
        <w:pStyle w:val="ResearchHeading2"/>
      </w:pPr>
      <w:r>
        <w:t>2.4 Conceptual model</w:t>
      </w:r>
    </w:p>
    <w:p>
      <w:pPr>
        <w:spacing w:before="0" w:after="120" w:line="300" w:lineRule="auto"/>
      </w:pPr>
      <w:r>
        <w:rPr>
          <w:b w:val="0"/>
          <w:i w:val="0"/>
        </w:rPr>
        <w:t>The analytical model treats SBP as the outcome, BMI as the principal explanatory variable, and age, sex, and pulse as prespecified covariates. DBP is intentionally not entered as a predictor because it is a concurrent blood-pressure measurement rather than a background covariate for the stated SBP question.</w:t>
      </w:r>
    </w:p>
    <w:p>
      <w:r>
        <w:br w:type="page"/>
      </w:r>
    </w:p>
    <w:p>
      <w:pPr>
        <w:pStyle w:val="ResearchHeading1"/>
      </w:pPr>
      <w:r>
        <w:t>CHAPTER 3. DATA AND METHODS</w:t>
      </w:r>
    </w:p>
    <w:p>
      <w:pPr>
        <w:pStyle w:val="ResearchHeading2"/>
      </w:pPr>
      <w:r>
        <w:t>3.1 Study design and data governance</w:t>
      </w:r>
    </w:p>
    <w:p>
      <w:pPr>
        <w:spacing w:before="0" w:after="120" w:line="300" w:lineRule="auto"/>
      </w:pPr>
      <w:r>
        <w:rPr>
          <w:b w:val="0"/>
          <w:i w:val="0"/>
        </w:rPr>
        <w:t>This is a cross-sectional secondary analysis of de-identified community periodic health-screening records collected in 2026. The final analytical dataset contains 7,146 encounters and 14 variables. Direct identifiers were excluded before analysis. A research identifier was retained only to audit uniqueness; source-repeat status was retained as a quality flag for sensitivity analysis.</w:t>
      </w:r>
    </w:p>
    <w:p>
      <w:pPr>
        <w:pStyle w:val="ResearchHeading2"/>
      </w:pPr>
      <w:r>
        <w:t>3.2 Sample construction</w:t>
      </w:r>
    </w:p>
    <w:p>
      <w:pPr>
        <w:jc w:val="center"/>
      </w:pPr>
      <w:r>
        <w:drawing>
          <wp:inline xmlns:a="http://schemas.openxmlformats.org/drawingml/2006/main" xmlns:pic="http://schemas.openxmlformats.org/drawingml/2006/picture">
            <wp:extent cx="5212080" cy="2448944"/>
            <wp:docPr id="1" name="Picture 1"/>
            <wp:cNvGraphicFramePr>
              <a:graphicFrameLocks noChangeAspect="1"/>
            </wp:cNvGraphicFramePr>
            <a:graphic>
              <a:graphicData uri="http://schemas.openxmlformats.org/drawingml/2006/picture">
                <pic:pic>
                  <pic:nvPicPr>
                    <pic:cNvPr id="0" name="05_cohort_flow.png"/>
                    <pic:cNvPicPr/>
                  </pic:nvPicPr>
                  <pic:blipFill>
                    <a:blip r:embed="rId19"/>
                    <a:stretch>
                      <a:fillRect/>
                    </a:stretch>
                  </pic:blipFill>
                  <pic:spPr>
                    <a:xfrm>
                      <a:off x="0" y="0"/>
                      <a:ext cx="5212080" cy="2448944"/>
                    </a:xfrm>
                    <a:prstGeom prst="rect"/>
                  </pic:spPr>
                </pic:pic>
              </a:graphicData>
            </a:graphic>
          </wp:inline>
        </w:drawing>
      </w:r>
    </w:p>
    <w:p>
      <w:pPr>
        <w:pStyle w:val="Caption"/>
        <w:spacing w:before="0" w:after="200" w:line="300" w:lineRule="auto"/>
        <w:jc w:val="center"/>
      </w:pPr>
      <w:r>
        <w:rPr>
          <w:b w:val="0"/>
          <w:i w:val="0"/>
        </w:rPr>
        <w:t>Figure 3.1. Transparent sample construction from non-empty source records to the final analytical sample.</w:t>
      </w:r>
    </w:p>
    <w:p>
      <w:pPr>
        <w:spacing w:before="0" w:after="120" w:line="300" w:lineRule="auto"/>
      </w:pPr>
      <w:r>
        <w:rPr>
          <w:b w:val="0"/>
          <w:i w:val="0"/>
        </w:rPr>
        <w:t>Records were progressively restricted to adults aged 18–59 years with required basic measurements. The flow diagram documents the selection process: 10,912 non-empty source records, 10,756 records aged 18–59 years, 7,174 records with core measurements, and 7,146 records in the final analytical sample.</w:t>
      </w:r>
    </w:p>
    <w:p>
      <w:pPr>
        <w:pStyle w:val="ResearchHeading2"/>
      </w:pPr>
      <w:r>
        <w:t>3.3 Variables and operational definitions</w:t>
      </w:r>
    </w:p>
    <w:tbl>
      <w:tblPr>
        <w:tblStyle w:val="TableGrid"/>
        <w:tblW w:type="auto" w:w="0"/>
        <w:tblLayout w:type="autofit"/>
        <w:tblLook w:firstColumn="1" w:firstRow="1" w:lastColumn="0" w:lastRow="0" w:noHBand="0" w:noVBand="1" w:val="04A0"/>
      </w:tblPr>
      <w:tblGrid>
        <w:gridCol w:w="2928"/>
        <w:gridCol w:w="2928"/>
        <w:gridCol w:w="2928"/>
      </w:tblGrid>
      <w:tr>
        <w:trPr>
          <w:tblHeader w:val="true"/>
        </w:trPr>
        <w:tc>
          <w:tcPr>
            <w:tcW w:type="dxa" w:w="2928"/>
            <w:shd w:fill="1F4E78"/>
          </w:tcPr>
          <w:p>
            <w:r>
              <w:rPr>
                <w:b/>
                <w:sz w:val="19"/>
              </w:rPr>
              <w:t>Role</w:t>
            </w:r>
          </w:p>
        </w:tc>
        <w:tc>
          <w:tcPr>
            <w:tcW w:type="dxa" w:w="2928"/>
            <w:shd w:fill="1F4E78"/>
          </w:tcPr>
          <w:p>
            <w:r>
              <w:rPr>
                <w:b/>
                <w:sz w:val="19"/>
              </w:rPr>
              <w:t>Variable</w:t>
            </w:r>
          </w:p>
        </w:tc>
        <w:tc>
          <w:tcPr>
            <w:tcW w:type="dxa" w:w="2928"/>
            <w:shd w:fill="1F4E78"/>
          </w:tcPr>
          <w:p>
            <w:r>
              <w:rPr>
                <w:b/>
                <w:sz w:val="19"/>
              </w:rPr>
              <w:t>Operational use</w:t>
            </w:r>
          </w:p>
        </w:tc>
      </w:tr>
      <w:tr>
        <w:trPr>
          <w:cantSplit/>
        </w:trPr>
        <w:tc>
          <w:tcPr>
            <w:tcW w:type="dxa" w:w="2928"/>
          </w:tcPr>
          <w:p>
            <w:r>
              <w:rPr>
                <w:sz w:val="19"/>
              </w:rPr>
              <w:t>Outcome</w:t>
            </w:r>
          </w:p>
        </w:tc>
        <w:tc>
          <w:tcPr>
            <w:tcW w:type="dxa" w:w="2928"/>
          </w:tcPr>
          <w:p>
            <w:r>
              <w:rPr>
                <w:sz w:val="19"/>
              </w:rPr>
              <w:t>SBP (mmHg)</w:t>
            </w:r>
          </w:p>
        </w:tc>
        <w:tc>
          <w:tcPr>
            <w:tcW w:type="dxa" w:w="2928"/>
          </w:tcPr>
          <w:p>
            <w:r>
              <w:rPr>
                <w:sz w:val="19"/>
              </w:rPr>
              <w:t>Continuous outcome in regression and group comparisons</w:t>
            </w:r>
          </w:p>
        </w:tc>
      </w:tr>
      <w:tr>
        <w:trPr>
          <w:cantSplit/>
        </w:trPr>
        <w:tc>
          <w:tcPr>
            <w:tcW w:type="dxa" w:w="2928"/>
            <w:shd w:fill="EDF4FA"/>
          </w:tcPr>
          <w:p>
            <w:r>
              <w:rPr>
                <w:sz w:val="19"/>
              </w:rPr>
              <w:t>Main exposure</w:t>
            </w:r>
          </w:p>
        </w:tc>
        <w:tc>
          <w:tcPr>
            <w:tcW w:type="dxa" w:w="2928"/>
            <w:shd w:fill="EDF4FA"/>
          </w:tcPr>
          <w:p>
            <w:r>
              <w:rPr>
                <w:sz w:val="19"/>
              </w:rPr>
              <w:t>BMI (kg/m²)</w:t>
            </w:r>
          </w:p>
        </w:tc>
        <w:tc>
          <w:tcPr>
            <w:tcW w:type="dxa" w:w="2928"/>
            <w:shd w:fill="EDF4FA"/>
          </w:tcPr>
          <w:p>
            <w:r>
              <w:rPr>
                <w:sz w:val="19"/>
              </w:rPr>
              <w:t>Continuous and five-level analytical group</w:t>
            </w:r>
          </w:p>
        </w:tc>
      </w:tr>
      <w:tr>
        <w:trPr>
          <w:cantSplit/>
        </w:trPr>
        <w:tc>
          <w:tcPr>
            <w:tcW w:type="dxa" w:w="2928"/>
          </w:tcPr>
          <w:p>
            <w:r>
              <w:rPr>
                <w:sz w:val="19"/>
              </w:rPr>
              <w:t>Covariates</w:t>
            </w:r>
          </w:p>
        </w:tc>
        <w:tc>
          <w:tcPr>
            <w:tcW w:type="dxa" w:w="2928"/>
          </w:tcPr>
          <w:p>
            <w:r>
              <w:rPr>
                <w:sz w:val="19"/>
              </w:rPr>
              <w:t>Age, sex, pulse</w:t>
            </w:r>
          </w:p>
        </w:tc>
        <w:tc>
          <w:tcPr>
            <w:tcW w:type="dxa" w:w="2928"/>
          </w:tcPr>
          <w:p>
            <w:r>
              <w:rPr>
                <w:sz w:val="19"/>
              </w:rPr>
              <w:t>Prespecified adjustment variables</w:t>
            </w:r>
          </w:p>
        </w:tc>
      </w:tr>
      <w:tr>
        <w:trPr>
          <w:cantSplit/>
        </w:trPr>
        <w:tc>
          <w:tcPr>
            <w:tcW w:type="dxa" w:w="2928"/>
            <w:shd w:fill="EDF4FA"/>
          </w:tcPr>
          <w:p>
            <w:r>
              <w:rPr>
                <w:sz w:val="19"/>
              </w:rPr>
              <w:t>Secondary outcome</w:t>
            </w:r>
          </w:p>
        </w:tc>
        <w:tc>
          <w:tcPr>
            <w:tcW w:type="dxa" w:w="2928"/>
            <w:shd w:fill="EDF4FA"/>
          </w:tcPr>
          <w:p>
            <w:r>
              <w:rPr>
                <w:sz w:val="19"/>
              </w:rPr>
              <w:t>Screening flag ≥140/90</w:t>
            </w:r>
          </w:p>
        </w:tc>
        <w:tc>
          <w:tcPr>
            <w:tcW w:type="dxa" w:w="2928"/>
            <w:shd w:fill="EDF4FA"/>
          </w:tcPr>
          <w:p>
            <w:r>
              <w:rPr>
                <w:sz w:val="19"/>
              </w:rPr>
              <w:t>Binary descriptive/association indicator, not diagnosis</w:t>
            </w:r>
          </w:p>
        </w:tc>
      </w:tr>
      <w:tr>
        <w:trPr>
          <w:cantSplit/>
        </w:trPr>
        <w:tc>
          <w:tcPr>
            <w:tcW w:type="dxa" w:w="2928"/>
          </w:tcPr>
          <w:p>
            <w:r>
              <w:rPr>
                <w:sz w:val="19"/>
              </w:rPr>
              <w:t>Quality flag</w:t>
            </w:r>
          </w:p>
        </w:tc>
        <w:tc>
          <w:tcPr>
            <w:tcW w:type="dxa" w:w="2928"/>
          </w:tcPr>
          <w:p>
            <w:r>
              <w:rPr>
                <w:sz w:val="19"/>
              </w:rPr>
              <w:t>Source repeat flag</w:t>
            </w:r>
          </w:p>
        </w:tc>
        <w:tc>
          <w:tcPr>
            <w:tcW w:type="dxa" w:w="2928"/>
          </w:tcPr>
          <w:p>
            <w:r>
              <w:rPr>
                <w:sz w:val="19"/>
              </w:rPr>
              <w:t>Sensitivity-analysis exclusion indicator</w:t>
            </w:r>
          </w:p>
        </w:tc>
      </w:tr>
    </w:tbl>
    <w:p>
      <w:pPr>
        <w:spacing w:before="0" w:after="60" w:line="300" w:lineRule="auto"/>
      </w:pPr>
      <w:r>
        <w:rPr>
          <w:b w:val="0"/>
          <w:i w:val="0"/>
        </w:rPr>
      </w:r>
    </w:p>
    <w:p>
      <w:pPr>
        <w:pStyle w:val="ResearchHeading2"/>
      </w:pPr>
      <w:r>
        <w:t>3.4 Data quality and outlier audit</w:t>
      </w:r>
    </w:p>
    <w:p>
      <w:pPr>
        <w:spacing w:before="0" w:after="120" w:line="300" w:lineRule="auto"/>
      </w:pPr>
      <w:r>
        <w:rPr>
          <w:b w:val="0"/>
          <w:i w:val="0"/>
        </w:rPr>
        <w:t>The workflow checked record count, variable count, data types, missingness, research-ID duplication, and the source-repeat flag. Numerical outliers were flagged using the conventional IQR rule. Flagging does not imply erroneous measurement; values were retained unless there was evidence of data error.</w:t>
      </w:r>
    </w:p>
    <w:p>
      <w:pPr>
        <w:jc w:val="center"/>
      </w:pPr>
      <m:oMathPara>
        <m:oMath>
          <m:r>
            <m:t>Lower = Q1 − 1.5 × IQR;  Upper = Q3 + 1.5 × IQR</m:t>
          </m:r>
        </m:oMath>
      </m:oMathPara>
    </w:p>
    <w:p>
      <w:pPr>
        <w:pStyle w:val="Caption"/>
        <w:spacing w:before="0" w:after="160" w:line="300" w:lineRule="auto"/>
        <w:jc w:val="center"/>
      </w:pPr>
      <w:r>
        <w:rPr>
          <w:b w:val="0"/>
          <w:i w:val="0"/>
        </w:rPr>
        <w:t>Equation 2. IQR outlier limits.</w:t>
      </w:r>
    </w:p>
    <w:p>
      <w:pPr>
        <w:pStyle w:val="ResearchHeading2"/>
      </w:pPr>
      <w:r>
        <w:t>3.5 Statistical analysis</w:t>
      </w:r>
    </w:p>
    <w:p>
      <w:pPr>
        <w:spacing w:before="0" w:after="120" w:line="300" w:lineRule="auto"/>
      </w:pPr>
      <w:r>
        <w:rPr>
          <w:b w:val="0"/>
          <w:i w:val="0"/>
        </w:rPr>
        <w:t>BMI and SBP were assessed using histogram–kernel density plots, Q–Q plots, skewness, excess kurtosis, D’Agostino–Pearson normality tests, and Shapiro–Wilk tests on a reproducible sample of up to 5,000 encounters. Given the large sample, p-values were interpreted together with graphical and descriptive evidence.</w:t>
      </w:r>
    </w:p>
    <w:p>
      <w:pPr>
        <w:spacing w:before="0" w:after="120" w:line="300" w:lineRule="auto"/>
      </w:pPr>
      <w:r>
        <w:rPr>
          <w:b w:val="0"/>
          <w:i w:val="0"/>
        </w:rPr>
        <w:t>Welch t-tests compared SBP between sexes. Classical one-way ANOVA was reported for course coverage; Levene tests assessed variance homogeneity and Welch ANOVA plus pairwise Welch tests with Holm adjustment were used where variances differed. Chi-square testing evaluated BMI group × screening flag, after auditing expected frequencies. Pearson and Spearman statistics quantified linear and monotonic association, respectively.</w:t>
      </w:r>
    </w:p>
    <w:p>
      <w:pPr>
        <w:jc w:val="center"/>
      </w:pPr>
      <m:oMathPara>
        <m:oMath>
          <m:r>
            <m:t>r = Σ[(xi − x̄)(yi − ȳ)] / √[Σ(xi − x̄)² × Σ(yi − ȳ)²]</m:t>
          </m:r>
        </m:oMath>
      </m:oMathPara>
    </w:p>
    <w:p>
      <w:pPr>
        <w:pStyle w:val="Caption"/>
        <w:spacing w:before="0" w:after="160" w:line="300" w:lineRule="auto"/>
        <w:jc w:val="center"/>
      </w:pPr>
      <w:r>
        <w:rPr>
          <w:b w:val="0"/>
          <w:i w:val="0"/>
        </w:rPr>
        <w:t>Equation 3. Pearson correlation coefficient.</w:t>
      </w:r>
    </w:p>
    <w:p>
      <w:pPr>
        <w:pStyle w:val="ResearchHeading2"/>
      </w:pPr>
      <w:r>
        <w:t>3.6 Multiple linear regression and diagnostics</w:t>
      </w:r>
    </w:p>
    <w:p>
      <w:pPr>
        <w:jc w:val="center"/>
      </w:pPr>
      <m:oMathPara>
        <m:oMath>
          <m:r>
            <m:t>SBPᵢ = β₀ + β₁BMIᵢ + β₂Ageᵢ + β₃Maleᵢ + β₄Pulseᵢ + εᵢ</m:t>
          </m:r>
        </m:oMath>
      </m:oMathPara>
    </w:p>
    <w:p>
      <w:pPr>
        <w:pStyle w:val="Caption"/>
        <w:spacing w:before="0" w:after="160" w:line="300" w:lineRule="auto"/>
        <w:jc w:val="center"/>
      </w:pPr>
      <w:r>
        <w:rPr>
          <w:b w:val="0"/>
          <w:i w:val="0"/>
        </w:rPr>
        <w:t>Equation 4. Main regression model.</w:t>
      </w:r>
    </w:p>
    <w:p>
      <w:pPr>
        <w:spacing w:before="0" w:after="120" w:line="300" w:lineRule="auto"/>
      </w:pPr>
      <w:r>
        <w:rPr>
          <w:b w:val="0"/>
          <w:i w:val="0"/>
        </w:rPr>
        <w:t>The model reports coefficients, standard errors, t statistics, p-values, 95% confidence intervals, R², adjusted R², RMSE, VIF, residual-versus-fitted plots, and a residual Q–Q plot. A sensitivity analysis re-estimated the BMI coefficient after excluding encounters with the source-repeat flag.</w:t>
      </w:r>
    </w:p>
    <w:p>
      <w:r>
        <w:br w:type="page"/>
      </w:r>
    </w:p>
    <w:p>
      <w:pPr>
        <w:pStyle w:val="ResearchHeading1"/>
      </w:pPr>
      <w:r>
        <w:t>CHAPTER 4. RESULTS</w:t>
      </w:r>
    </w:p>
    <w:p>
      <w:pPr>
        <w:pStyle w:val="ResearchHeading2"/>
      </w:pPr>
      <w:r>
        <w:t>4.1 Data quality and descriptive overview</w:t>
      </w:r>
    </w:p>
    <w:p>
      <w:pPr>
        <w:spacing w:before="0" w:after="120" w:line="300" w:lineRule="auto"/>
      </w:pPr>
      <w:r>
        <w:rPr>
          <w:b w:val="0"/>
          <w:i w:val="0"/>
        </w:rPr>
        <w:t>The final analytical file contains 7,146 encounters and 14 variables. No missing values were present in the released analytical variables, and research identifiers were unique. There were 118 source-repeat-flagged encounters. These were retained in the principal analysis and separately evaluated in the sensitivity analysis.</w:t>
      </w:r>
    </w:p>
    <w:tbl>
      <w:tblPr>
        <w:tblStyle w:val="TableGrid"/>
        <w:tblW w:type="auto" w:w="0"/>
        <w:tblLayout w:type="autofit"/>
        <w:tblLook w:firstColumn="1" w:firstRow="1" w:lastColumn="0" w:lastRow="0" w:noHBand="0" w:noVBand="1" w:val="04A0"/>
      </w:tblPr>
      <w:tblGrid>
        <w:gridCol w:w="1757"/>
        <w:gridCol w:w="1757"/>
        <w:gridCol w:w="1757"/>
        <w:gridCol w:w="1757"/>
        <w:gridCol w:w="1757"/>
      </w:tblGrid>
      <w:tr>
        <w:trPr>
          <w:tblHeader w:val="true"/>
        </w:trPr>
        <w:tc>
          <w:tcPr>
            <w:tcW w:type="dxa" w:w="1757"/>
            <w:shd w:fill="1F4E78"/>
          </w:tcPr>
          <w:p>
            <w:r>
              <w:rPr>
                <w:b/>
                <w:sz w:val="19"/>
              </w:rPr>
              <w:t>Variable</w:t>
            </w:r>
          </w:p>
        </w:tc>
        <w:tc>
          <w:tcPr>
            <w:tcW w:type="dxa" w:w="1757"/>
            <w:shd w:fill="1F4E78"/>
          </w:tcPr>
          <w:p>
            <w:r>
              <w:rPr>
                <w:b/>
                <w:sz w:val="19"/>
              </w:rPr>
              <w:t>Mean</w:t>
            </w:r>
          </w:p>
        </w:tc>
        <w:tc>
          <w:tcPr>
            <w:tcW w:type="dxa" w:w="1757"/>
            <w:shd w:fill="1F4E78"/>
          </w:tcPr>
          <w:p>
            <w:r>
              <w:rPr>
                <w:b/>
                <w:sz w:val="19"/>
              </w:rPr>
              <w:t>Median</w:t>
            </w:r>
          </w:p>
        </w:tc>
        <w:tc>
          <w:tcPr>
            <w:tcW w:type="dxa" w:w="1757"/>
            <w:shd w:fill="1F4E78"/>
          </w:tcPr>
          <w:p>
            <w:r>
              <w:rPr>
                <w:b/>
                <w:sz w:val="19"/>
              </w:rPr>
              <w:t>SD</w:t>
            </w:r>
          </w:p>
        </w:tc>
        <w:tc>
          <w:tcPr>
            <w:tcW w:type="dxa" w:w="1757"/>
            <w:shd w:fill="1F4E78"/>
          </w:tcPr>
          <w:p>
            <w:r>
              <w:rPr>
                <w:b/>
                <w:sz w:val="19"/>
              </w:rPr>
              <w:t>Range</w:t>
            </w:r>
          </w:p>
        </w:tc>
      </w:tr>
      <w:tr>
        <w:trPr>
          <w:cantSplit/>
        </w:trPr>
        <w:tc>
          <w:tcPr>
            <w:tcW w:type="dxa" w:w="1757"/>
          </w:tcPr>
          <w:p>
            <w:r>
              <w:rPr>
                <w:sz w:val="19"/>
              </w:rPr>
              <w:t>Age (years)</w:t>
            </w:r>
          </w:p>
        </w:tc>
        <w:tc>
          <w:tcPr>
            <w:tcW w:type="dxa" w:w="1757"/>
          </w:tcPr>
          <w:p>
            <w:r>
              <w:rPr>
                <w:sz w:val="19"/>
              </w:rPr>
              <w:t>36.46</w:t>
            </w:r>
          </w:p>
        </w:tc>
        <w:tc>
          <w:tcPr>
            <w:tcW w:type="dxa" w:w="1757"/>
          </w:tcPr>
          <w:p>
            <w:r>
              <w:rPr>
                <w:sz w:val="19"/>
              </w:rPr>
              <w:t>35.00</w:t>
            </w:r>
          </w:p>
        </w:tc>
        <w:tc>
          <w:tcPr>
            <w:tcW w:type="dxa" w:w="1757"/>
          </w:tcPr>
          <w:p>
            <w:r>
              <w:rPr>
                <w:sz w:val="19"/>
              </w:rPr>
              <w:t>12.71</w:t>
            </w:r>
          </w:p>
        </w:tc>
        <w:tc>
          <w:tcPr>
            <w:tcW w:type="dxa" w:w="1757"/>
          </w:tcPr>
          <w:p>
            <w:r>
              <w:rPr>
                <w:sz w:val="19"/>
              </w:rPr>
              <w:t>18–59</w:t>
            </w:r>
          </w:p>
        </w:tc>
      </w:tr>
      <w:tr>
        <w:trPr>
          <w:cantSplit/>
        </w:trPr>
        <w:tc>
          <w:tcPr>
            <w:tcW w:type="dxa" w:w="1757"/>
            <w:shd w:fill="EDF4FA"/>
          </w:tcPr>
          <w:p>
            <w:r>
              <w:rPr>
                <w:sz w:val="19"/>
              </w:rPr>
              <w:t>BMI (kg/m²)</w:t>
            </w:r>
          </w:p>
        </w:tc>
        <w:tc>
          <w:tcPr>
            <w:tcW w:type="dxa" w:w="1757"/>
            <w:shd w:fill="EDF4FA"/>
          </w:tcPr>
          <w:p>
            <w:r>
              <w:rPr>
                <w:sz w:val="19"/>
              </w:rPr>
              <w:t>23.79</w:t>
            </w:r>
          </w:p>
        </w:tc>
        <w:tc>
          <w:tcPr>
            <w:tcW w:type="dxa" w:w="1757"/>
            <w:shd w:fill="EDF4FA"/>
          </w:tcPr>
          <w:p>
            <w:r>
              <w:rPr>
                <w:sz w:val="19"/>
              </w:rPr>
              <w:t>23.34</w:t>
            </w:r>
          </w:p>
        </w:tc>
        <w:tc>
          <w:tcPr>
            <w:tcW w:type="dxa" w:w="1757"/>
            <w:shd w:fill="EDF4FA"/>
          </w:tcPr>
          <w:p>
            <w:r>
              <w:rPr>
                <w:sz w:val="19"/>
              </w:rPr>
              <w:t>4.00</w:t>
            </w:r>
          </w:p>
        </w:tc>
        <w:tc>
          <w:tcPr>
            <w:tcW w:type="dxa" w:w="1757"/>
            <w:shd w:fill="EDF4FA"/>
          </w:tcPr>
          <w:p>
            <w:r>
              <w:rPr>
                <w:sz w:val="19"/>
              </w:rPr>
              <w:t>14–57</w:t>
            </w:r>
          </w:p>
        </w:tc>
      </w:tr>
      <w:tr>
        <w:trPr>
          <w:cantSplit/>
        </w:trPr>
        <w:tc>
          <w:tcPr>
            <w:tcW w:type="dxa" w:w="1757"/>
          </w:tcPr>
          <w:p>
            <w:r>
              <w:rPr>
                <w:sz w:val="19"/>
              </w:rPr>
              <w:t>Pulse (beats/min)</w:t>
            </w:r>
          </w:p>
        </w:tc>
        <w:tc>
          <w:tcPr>
            <w:tcW w:type="dxa" w:w="1757"/>
          </w:tcPr>
          <w:p>
            <w:r>
              <w:rPr>
                <w:sz w:val="19"/>
              </w:rPr>
              <w:t>81.10</w:t>
            </w:r>
          </w:p>
        </w:tc>
        <w:tc>
          <w:tcPr>
            <w:tcW w:type="dxa" w:w="1757"/>
          </w:tcPr>
          <w:p>
            <w:r>
              <w:rPr>
                <w:sz w:val="19"/>
              </w:rPr>
              <w:t>80.00</w:t>
            </w:r>
          </w:p>
        </w:tc>
        <w:tc>
          <w:tcPr>
            <w:tcW w:type="dxa" w:w="1757"/>
          </w:tcPr>
          <w:p>
            <w:r>
              <w:rPr>
                <w:sz w:val="19"/>
              </w:rPr>
              <w:t>10.44</w:t>
            </w:r>
          </w:p>
        </w:tc>
        <w:tc>
          <w:tcPr>
            <w:tcW w:type="dxa" w:w="1757"/>
          </w:tcPr>
          <w:p>
            <w:r>
              <w:rPr>
                <w:sz w:val="19"/>
              </w:rPr>
              <w:t>42–182</w:t>
            </w:r>
          </w:p>
        </w:tc>
      </w:tr>
      <w:tr>
        <w:trPr>
          <w:cantSplit/>
        </w:trPr>
        <w:tc>
          <w:tcPr>
            <w:tcW w:type="dxa" w:w="1757"/>
            <w:shd w:fill="EDF4FA"/>
          </w:tcPr>
          <w:p>
            <w:r>
              <w:rPr>
                <w:sz w:val="19"/>
              </w:rPr>
              <w:t>SBP (mmHg)</w:t>
            </w:r>
          </w:p>
        </w:tc>
        <w:tc>
          <w:tcPr>
            <w:tcW w:type="dxa" w:w="1757"/>
            <w:shd w:fill="EDF4FA"/>
          </w:tcPr>
          <w:p>
            <w:r>
              <w:rPr>
                <w:sz w:val="19"/>
              </w:rPr>
              <w:t>120.06</w:t>
            </w:r>
          </w:p>
        </w:tc>
        <w:tc>
          <w:tcPr>
            <w:tcW w:type="dxa" w:w="1757"/>
            <w:shd w:fill="EDF4FA"/>
          </w:tcPr>
          <w:p>
            <w:r>
              <w:rPr>
                <w:sz w:val="19"/>
              </w:rPr>
              <w:t>120.00</w:t>
            </w:r>
          </w:p>
        </w:tc>
        <w:tc>
          <w:tcPr>
            <w:tcW w:type="dxa" w:w="1757"/>
            <w:shd w:fill="EDF4FA"/>
          </w:tcPr>
          <w:p>
            <w:r>
              <w:rPr>
                <w:sz w:val="19"/>
              </w:rPr>
              <w:t>16.31</w:t>
            </w:r>
          </w:p>
        </w:tc>
        <w:tc>
          <w:tcPr>
            <w:tcW w:type="dxa" w:w="1757"/>
            <w:shd w:fill="EDF4FA"/>
          </w:tcPr>
          <w:p>
            <w:r>
              <w:rPr>
                <w:sz w:val="19"/>
              </w:rPr>
              <w:t>80–220</w:t>
            </w:r>
          </w:p>
        </w:tc>
      </w:tr>
      <w:tr>
        <w:trPr>
          <w:cantSplit/>
        </w:trPr>
        <w:tc>
          <w:tcPr>
            <w:tcW w:type="dxa" w:w="1757"/>
          </w:tcPr>
          <w:p>
            <w:r>
              <w:rPr>
                <w:sz w:val="19"/>
              </w:rPr>
              <w:t>DBP (mmHg)</w:t>
            </w:r>
          </w:p>
        </w:tc>
        <w:tc>
          <w:tcPr>
            <w:tcW w:type="dxa" w:w="1757"/>
          </w:tcPr>
          <w:p>
            <w:r>
              <w:rPr>
                <w:sz w:val="19"/>
              </w:rPr>
              <w:t>77.44</w:t>
            </w:r>
          </w:p>
        </w:tc>
        <w:tc>
          <w:tcPr>
            <w:tcW w:type="dxa" w:w="1757"/>
          </w:tcPr>
          <w:p>
            <w:r>
              <w:rPr>
                <w:sz w:val="19"/>
              </w:rPr>
              <w:t>78.00</w:t>
            </w:r>
          </w:p>
        </w:tc>
        <w:tc>
          <w:tcPr>
            <w:tcW w:type="dxa" w:w="1757"/>
          </w:tcPr>
          <w:p>
            <w:r>
              <w:rPr>
                <w:sz w:val="19"/>
              </w:rPr>
              <w:t>10.72</w:t>
            </w:r>
          </w:p>
        </w:tc>
        <w:tc>
          <w:tcPr>
            <w:tcW w:type="dxa" w:w="1757"/>
          </w:tcPr>
          <w:p>
            <w:r>
              <w:rPr>
                <w:sz w:val="19"/>
              </w:rPr>
              <w:t>43–150</w:t>
            </w:r>
          </w:p>
        </w:tc>
      </w:tr>
    </w:tbl>
    <w:p>
      <w:pPr>
        <w:spacing w:before="0" w:after="60" w:line="300" w:lineRule="auto"/>
      </w:pPr>
      <w:r>
        <w:rPr>
          <w:b w:val="0"/>
          <w:i w:val="0"/>
        </w:rPr>
      </w:r>
    </w:p>
    <w:p>
      <w:pPr>
        <w:jc w:val="center"/>
      </w:pPr>
      <w:r>
        <w:drawing>
          <wp:inline xmlns:a="http://schemas.openxmlformats.org/drawingml/2006/main" xmlns:pic="http://schemas.openxmlformats.org/drawingml/2006/picture">
            <wp:extent cx="5394960" cy="2038562"/>
            <wp:docPr id="2" name="Picture 2"/>
            <wp:cNvGraphicFramePr>
              <a:graphicFrameLocks noChangeAspect="1"/>
            </wp:cNvGraphicFramePr>
            <a:graphic>
              <a:graphicData uri="http://schemas.openxmlformats.org/drawingml/2006/picture">
                <pic:pic>
                  <pic:nvPicPr>
                    <pic:cNvPr id="0" name="06_sample_composition.png"/>
                    <pic:cNvPicPr/>
                  </pic:nvPicPr>
                  <pic:blipFill>
                    <a:blip r:embed="rId20"/>
                    <a:stretch>
                      <a:fillRect/>
                    </a:stretch>
                  </pic:blipFill>
                  <pic:spPr>
                    <a:xfrm>
                      <a:off x="0" y="0"/>
                      <a:ext cx="5394960" cy="2038562"/>
                    </a:xfrm>
                    <a:prstGeom prst="rect"/>
                  </pic:spPr>
                </pic:pic>
              </a:graphicData>
            </a:graphic>
          </wp:inline>
        </w:drawing>
      </w:r>
    </w:p>
    <w:p>
      <w:pPr>
        <w:pStyle w:val="Caption"/>
        <w:spacing w:before="0" w:after="200" w:line="300" w:lineRule="auto"/>
        <w:jc w:val="center"/>
      </w:pPr>
      <w:r>
        <w:rPr>
          <w:b w:val="0"/>
          <w:i w:val="0"/>
        </w:rPr>
        <w:t>Figure 4.1. Sample composition by sex and age group.</w:t>
      </w:r>
    </w:p>
    <w:p>
      <w:pPr>
        <w:pStyle w:val="ResearchHeading2"/>
      </w:pPr>
      <w:r>
        <w:t>4.2 Distribution assessment</w:t>
      </w:r>
    </w:p>
    <w:p>
      <w:pPr>
        <w:jc w:val="center"/>
      </w:pPr>
      <w:r>
        <w:drawing>
          <wp:inline xmlns:a="http://schemas.openxmlformats.org/drawingml/2006/main" xmlns:pic="http://schemas.openxmlformats.org/drawingml/2006/picture">
            <wp:extent cx="5394960" cy="2075882"/>
            <wp:docPr id="3" name="Picture 3"/>
            <wp:cNvGraphicFramePr>
              <a:graphicFrameLocks noChangeAspect="1"/>
            </wp:cNvGraphicFramePr>
            <a:graphic>
              <a:graphicData uri="http://schemas.openxmlformats.org/drawingml/2006/picture">
                <pic:pic>
                  <pic:nvPicPr>
                    <pic:cNvPr id="0" name="01_distributions_bmi_sbp.png"/>
                    <pic:cNvPicPr/>
                  </pic:nvPicPr>
                  <pic:blipFill>
                    <a:blip r:embed="rId21"/>
                    <a:stretch>
                      <a:fillRect/>
                    </a:stretch>
                  </pic:blipFill>
                  <pic:spPr>
                    <a:xfrm>
                      <a:off x="0" y="0"/>
                      <a:ext cx="5394960" cy="2075882"/>
                    </a:xfrm>
                    <a:prstGeom prst="rect"/>
                  </pic:spPr>
                </pic:pic>
              </a:graphicData>
            </a:graphic>
          </wp:inline>
        </w:drawing>
      </w:r>
    </w:p>
    <w:p>
      <w:pPr>
        <w:pStyle w:val="Caption"/>
        <w:spacing w:before="0" w:after="200" w:line="300" w:lineRule="auto"/>
        <w:jc w:val="center"/>
      </w:pPr>
      <w:r>
        <w:rPr>
          <w:b w:val="0"/>
          <w:i w:val="0"/>
        </w:rPr>
        <w:t>Figure 4.2. Histogram and kernel density estimates for BMI and SBP.</w:t>
      </w:r>
    </w:p>
    <w:tbl>
      <w:tblPr>
        <w:tblStyle w:val="TableGrid"/>
        <w:tblW w:type="auto" w:w="0"/>
        <w:tblLayout w:type="autofit"/>
        <w:tblLook w:firstColumn="1" w:firstRow="1" w:lastColumn="0" w:lastRow="0" w:noHBand="0" w:noVBand="1" w:val="04A0"/>
      </w:tblPr>
      <w:tblGrid>
        <w:gridCol w:w="2196"/>
        <w:gridCol w:w="2196"/>
        <w:gridCol w:w="2196"/>
        <w:gridCol w:w="2196"/>
      </w:tblGrid>
      <w:tr>
        <w:trPr>
          <w:tblHeader w:val="true"/>
        </w:trPr>
        <w:tc>
          <w:tcPr>
            <w:tcW w:type="dxa" w:w="2196"/>
            <w:shd w:fill="1F4E78"/>
          </w:tcPr>
          <w:p>
            <w:r>
              <w:rPr>
                <w:b/>
                <w:sz w:val="19"/>
              </w:rPr>
              <w:t>Variable</w:t>
            </w:r>
          </w:p>
        </w:tc>
        <w:tc>
          <w:tcPr>
            <w:tcW w:type="dxa" w:w="2196"/>
            <w:shd w:fill="1F4E78"/>
          </w:tcPr>
          <w:p>
            <w:r>
              <w:rPr>
                <w:b/>
                <w:sz w:val="19"/>
              </w:rPr>
              <w:t>Skewness</w:t>
            </w:r>
          </w:p>
        </w:tc>
        <w:tc>
          <w:tcPr>
            <w:tcW w:type="dxa" w:w="2196"/>
            <w:shd w:fill="1F4E78"/>
          </w:tcPr>
          <w:p>
            <w:r>
              <w:rPr>
                <w:b/>
                <w:sz w:val="19"/>
              </w:rPr>
              <w:t>Excess kurtosis</w:t>
            </w:r>
          </w:p>
        </w:tc>
        <w:tc>
          <w:tcPr>
            <w:tcW w:type="dxa" w:w="2196"/>
            <w:shd w:fill="1F4E78"/>
          </w:tcPr>
          <w:p>
            <w:r>
              <w:rPr>
                <w:b/>
                <w:sz w:val="19"/>
              </w:rPr>
              <w:t>Interpretation</w:t>
            </w:r>
          </w:p>
        </w:tc>
      </w:tr>
      <w:tr>
        <w:trPr>
          <w:cantSplit/>
        </w:trPr>
        <w:tc>
          <w:tcPr>
            <w:tcW w:type="dxa" w:w="2196"/>
          </w:tcPr>
          <w:p>
            <w:r>
              <w:rPr>
                <w:sz w:val="19"/>
              </w:rPr>
              <w:t>BMI</w:t>
            </w:r>
          </w:p>
        </w:tc>
        <w:tc>
          <w:tcPr>
            <w:tcW w:type="dxa" w:w="2196"/>
          </w:tcPr>
          <w:p>
            <w:r>
              <w:rPr>
                <w:sz w:val="19"/>
              </w:rPr>
              <w:t>1.058</w:t>
            </w:r>
          </w:p>
        </w:tc>
        <w:tc>
          <w:tcPr>
            <w:tcW w:type="dxa" w:w="2196"/>
          </w:tcPr>
          <w:p>
            <w:r>
              <w:rPr>
                <w:sz w:val="19"/>
              </w:rPr>
              <w:t>2.997</w:t>
            </w:r>
          </w:p>
        </w:tc>
        <w:tc>
          <w:tcPr>
            <w:tcW w:type="dxa" w:w="2196"/>
          </w:tcPr>
          <w:p>
            <w:r>
              <w:rPr>
                <w:sz w:val="19"/>
              </w:rPr>
              <w:t>Right-skewed; not fully normal</w:t>
            </w:r>
          </w:p>
        </w:tc>
      </w:tr>
      <w:tr>
        <w:trPr>
          <w:cantSplit/>
        </w:trPr>
        <w:tc>
          <w:tcPr>
            <w:tcW w:type="dxa" w:w="2196"/>
            <w:shd w:fill="EDF4FA"/>
          </w:tcPr>
          <w:p>
            <w:r>
              <w:rPr>
                <w:sz w:val="19"/>
              </w:rPr>
              <w:t>HATT</w:t>
            </w:r>
          </w:p>
        </w:tc>
        <w:tc>
          <w:tcPr>
            <w:tcW w:type="dxa" w:w="2196"/>
            <w:shd w:fill="EDF4FA"/>
          </w:tcPr>
          <w:p>
            <w:r>
              <w:rPr>
                <w:sz w:val="19"/>
              </w:rPr>
              <w:t>0.820</w:t>
            </w:r>
          </w:p>
        </w:tc>
        <w:tc>
          <w:tcPr>
            <w:tcW w:type="dxa" w:w="2196"/>
            <w:shd w:fill="EDF4FA"/>
          </w:tcPr>
          <w:p>
            <w:r>
              <w:rPr>
                <w:sz w:val="19"/>
              </w:rPr>
              <w:t>1.284</w:t>
            </w:r>
          </w:p>
        </w:tc>
        <w:tc>
          <w:tcPr>
            <w:tcW w:type="dxa" w:w="2196"/>
            <w:shd w:fill="EDF4FA"/>
          </w:tcPr>
          <w:p>
            <w:r>
              <w:rPr>
                <w:sz w:val="19"/>
              </w:rPr>
              <w:t>Right-skewed; not fully normal</w:t>
            </w:r>
          </w:p>
        </w:tc>
      </w:tr>
    </w:tbl>
    <w:p>
      <w:pPr>
        <w:spacing w:before="0" w:after="60" w:line="300" w:lineRule="auto"/>
      </w:pPr>
      <w:r>
        <w:rPr>
          <w:b w:val="0"/>
          <w:i w:val="0"/>
        </w:rPr>
      </w:r>
    </w:p>
    <w:p>
      <w:pPr>
        <w:spacing w:before="0" w:after="120" w:line="300" w:lineRule="auto"/>
      </w:pPr>
      <w:r>
        <w:rPr>
          <w:b w:val="0"/>
          <w:i w:val="0"/>
        </w:rPr>
        <w:t>Both distributions departed from strict normality. BMI had skewness 1.058 and excess kurtosis 2.997; SBP had skewness 0.820 and excess kurtosis 1.284. Normality tests were statistically significant, but their sensitivity at large n was expected. Q–Q plots confirmed tail deviation, motivating robust complementary analyses.</w:t>
      </w:r>
    </w:p>
    <w:p>
      <w:pPr>
        <w:jc w:val="center"/>
      </w:pPr>
      <w:r>
        <w:drawing>
          <wp:inline xmlns:a="http://schemas.openxmlformats.org/drawingml/2006/main" xmlns:pic="http://schemas.openxmlformats.org/drawingml/2006/picture">
            <wp:extent cx="5394960" cy="2166232"/>
            <wp:docPr id="4" name="Picture 4"/>
            <wp:cNvGraphicFramePr>
              <a:graphicFrameLocks noChangeAspect="1"/>
            </wp:cNvGraphicFramePr>
            <a:graphic>
              <a:graphicData uri="http://schemas.openxmlformats.org/drawingml/2006/picture">
                <pic:pic>
                  <pic:nvPicPr>
                    <pic:cNvPr id="0" name="13_distribution_diagnostics.png"/>
                    <pic:cNvPicPr/>
                  </pic:nvPicPr>
                  <pic:blipFill>
                    <a:blip r:embed="rId22"/>
                    <a:stretch>
                      <a:fillRect/>
                    </a:stretch>
                  </pic:blipFill>
                  <pic:spPr>
                    <a:xfrm>
                      <a:off x="0" y="0"/>
                      <a:ext cx="5394960" cy="2166232"/>
                    </a:xfrm>
                    <a:prstGeom prst="rect"/>
                  </pic:spPr>
                </pic:pic>
              </a:graphicData>
            </a:graphic>
          </wp:inline>
        </w:drawing>
      </w:r>
    </w:p>
    <w:p>
      <w:pPr>
        <w:pStyle w:val="Caption"/>
        <w:spacing w:before="0" w:after="200" w:line="300" w:lineRule="auto"/>
        <w:jc w:val="center"/>
      </w:pPr>
      <w:r>
        <w:rPr>
          <w:b w:val="0"/>
          <w:i w:val="0"/>
        </w:rPr>
        <w:t>Figure 4.3. Q–Q diagnostics for BMI and SBP.</w:t>
      </w:r>
    </w:p>
    <w:p>
      <w:pPr>
        <w:pStyle w:val="ResearchHeading2"/>
      </w:pPr>
      <w:r>
        <w:t>4.3 Group differences and screening-pattern association</w:t>
      </w:r>
    </w:p>
    <w:p>
      <w:pPr>
        <w:spacing w:before="0" w:after="120" w:line="300" w:lineRule="auto"/>
      </w:pPr>
      <w:r>
        <w:rPr>
          <w:b w:val="0"/>
          <w:i w:val="0"/>
        </w:rPr>
        <w:t>SBP differed by sex in the Welch t-test (t = 26.581, p &lt; 0.001; Cohen’s d = 0.629). Classical ANOVA found SBP differences across BMI groups (F = 162.401, p &lt; 0.001; η² = 0.083) and age groups (F = 186.611, p &lt; 0.001; η² = 0.073). Levene tests indicated unequal variances, and Welch ANOVA confirmed the group-level conclusions.</w:t>
      </w:r>
    </w:p>
    <w:tbl>
      <w:tblPr>
        <w:tblStyle w:val="TableGrid"/>
        <w:tblW w:type="auto" w:w="0"/>
        <w:tblLayout w:type="autofit"/>
        <w:tblLook w:firstColumn="1" w:firstRow="1" w:lastColumn="0" w:lastRow="0" w:noHBand="0" w:noVBand="1" w:val="04A0"/>
      </w:tblPr>
      <w:tblGrid>
        <w:gridCol w:w="2196"/>
        <w:gridCol w:w="2196"/>
        <w:gridCol w:w="2196"/>
        <w:gridCol w:w="2196"/>
      </w:tblGrid>
      <w:tr>
        <w:trPr>
          <w:tblHeader w:val="true"/>
        </w:trPr>
        <w:tc>
          <w:tcPr>
            <w:tcW w:type="dxa" w:w="2196"/>
            <w:shd w:fill="1F4E78"/>
          </w:tcPr>
          <w:p>
            <w:r>
              <w:rPr>
                <w:b/>
                <w:sz w:val="19"/>
              </w:rPr>
              <w:t>Analysis</w:t>
            </w:r>
          </w:p>
        </w:tc>
        <w:tc>
          <w:tcPr>
            <w:tcW w:type="dxa" w:w="2196"/>
            <w:shd w:fill="1F4E78"/>
          </w:tcPr>
          <w:p>
            <w:r>
              <w:rPr>
                <w:b/>
                <w:sz w:val="19"/>
              </w:rPr>
              <w:t>Test statistic</w:t>
            </w:r>
          </w:p>
        </w:tc>
        <w:tc>
          <w:tcPr>
            <w:tcW w:type="dxa" w:w="2196"/>
            <w:shd w:fill="1F4E78"/>
          </w:tcPr>
          <w:p>
            <w:r>
              <w:rPr>
                <w:b/>
                <w:sz w:val="19"/>
              </w:rPr>
              <w:t>p-value</w:t>
            </w:r>
          </w:p>
        </w:tc>
        <w:tc>
          <w:tcPr>
            <w:tcW w:type="dxa" w:w="2196"/>
            <w:shd w:fill="1F4E78"/>
          </w:tcPr>
          <w:p>
            <w:r>
              <w:rPr>
                <w:b/>
                <w:sz w:val="19"/>
              </w:rPr>
              <w:t>Effect size</w:t>
            </w:r>
          </w:p>
        </w:tc>
      </w:tr>
      <w:tr>
        <w:trPr>
          <w:cantSplit/>
        </w:trPr>
        <w:tc>
          <w:tcPr>
            <w:tcW w:type="dxa" w:w="2196"/>
          </w:tcPr>
          <w:p>
            <w:r>
              <w:rPr>
                <w:sz w:val="19"/>
              </w:rPr>
              <w:t>Welch t-test: HATT theo giới</w:t>
            </w:r>
          </w:p>
        </w:tc>
        <w:tc>
          <w:tcPr>
            <w:tcW w:type="dxa" w:w="2196"/>
          </w:tcPr>
          <w:p>
            <w:r>
              <w:rPr>
                <w:sz w:val="19"/>
              </w:rPr>
              <w:t>26.581</w:t>
            </w:r>
          </w:p>
        </w:tc>
        <w:tc>
          <w:tcPr>
            <w:tcW w:type="dxa" w:w="2196"/>
          </w:tcPr>
          <w:p>
            <w:r>
              <w:rPr>
                <w:sz w:val="19"/>
              </w:rPr>
              <w:t>&lt;0.001</w:t>
            </w:r>
          </w:p>
        </w:tc>
        <w:tc>
          <w:tcPr>
            <w:tcW w:type="dxa" w:w="2196"/>
          </w:tcPr>
          <w:p>
            <w:r>
              <w:rPr>
                <w:sz w:val="19"/>
              </w:rPr>
              <w:t>Cohen d: 0.629</w:t>
            </w:r>
          </w:p>
        </w:tc>
      </w:tr>
      <w:tr>
        <w:trPr>
          <w:cantSplit/>
        </w:trPr>
        <w:tc>
          <w:tcPr>
            <w:tcW w:type="dxa" w:w="2196"/>
            <w:shd w:fill="EDF4FA"/>
          </w:tcPr>
          <w:p>
            <w:r>
              <w:rPr>
                <w:sz w:val="19"/>
              </w:rPr>
              <w:t>ANOVA: HATT theo nhóm BMI</w:t>
            </w:r>
          </w:p>
        </w:tc>
        <w:tc>
          <w:tcPr>
            <w:tcW w:type="dxa" w:w="2196"/>
            <w:shd w:fill="EDF4FA"/>
          </w:tcPr>
          <w:p>
            <w:r>
              <w:rPr>
                <w:sz w:val="19"/>
              </w:rPr>
              <w:t>162.401</w:t>
            </w:r>
          </w:p>
        </w:tc>
        <w:tc>
          <w:tcPr>
            <w:tcW w:type="dxa" w:w="2196"/>
            <w:shd w:fill="EDF4FA"/>
          </w:tcPr>
          <w:p>
            <w:r>
              <w:rPr>
                <w:sz w:val="19"/>
              </w:rPr>
              <w:t>&lt;0.001</w:t>
            </w:r>
          </w:p>
        </w:tc>
        <w:tc>
          <w:tcPr>
            <w:tcW w:type="dxa" w:w="2196"/>
            <w:shd w:fill="EDF4FA"/>
          </w:tcPr>
          <w:p>
            <w:r>
              <w:rPr>
                <w:sz w:val="19"/>
              </w:rPr>
              <w:t>eta²: 0.083</w:t>
            </w:r>
          </w:p>
        </w:tc>
      </w:tr>
      <w:tr>
        <w:trPr>
          <w:cantSplit/>
        </w:trPr>
        <w:tc>
          <w:tcPr>
            <w:tcW w:type="dxa" w:w="2196"/>
          </w:tcPr>
          <w:p>
            <w:r>
              <w:rPr>
                <w:sz w:val="19"/>
              </w:rPr>
              <w:t>ANOVA: HATT theo nhóm tuổi</w:t>
            </w:r>
          </w:p>
        </w:tc>
        <w:tc>
          <w:tcPr>
            <w:tcW w:type="dxa" w:w="2196"/>
          </w:tcPr>
          <w:p>
            <w:r>
              <w:rPr>
                <w:sz w:val="19"/>
              </w:rPr>
              <w:t>186.611</w:t>
            </w:r>
          </w:p>
        </w:tc>
        <w:tc>
          <w:tcPr>
            <w:tcW w:type="dxa" w:w="2196"/>
          </w:tcPr>
          <w:p>
            <w:r>
              <w:rPr>
                <w:sz w:val="19"/>
              </w:rPr>
              <w:t>&lt;0.001</w:t>
            </w:r>
          </w:p>
        </w:tc>
        <w:tc>
          <w:tcPr>
            <w:tcW w:type="dxa" w:w="2196"/>
          </w:tcPr>
          <w:p>
            <w:r>
              <w:rPr>
                <w:sz w:val="19"/>
              </w:rPr>
              <w:t>eta²: 0.073</w:t>
            </w:r>
          </w:p>
        </w:tc>
      </w:tr>
      <w:tr>
        <w:trPr>
          <w:cantSplit/>
        </w:trPr>
        <w:tc>
          <w:tcPr>
            <w:tcW w:type="dxa" w:w="2196"/>
            <w:shd w:fill="EDF4FA"/>
          </w:tcPr>
          <w:p>
            <w:r>
              <w:rPr>
                <w:sz w:val="19"/>
              </w:rPr>
              <w:t>Chi-square: nhóm BMI × cờ sàng lọc</w:t>
            </w:r>
          </w:p>
        </w:tc>
        <w:tc>
          <w:tcPr>
            <w:tcW w:type="dxa" w:w="2196"/>
            <w:shd w:fill="EDF4FA"/>
          </w:tcPr>
          <w:p>
            <w:r>
              <w:rPr>
                <w:sz w:val="19"/>
              </w:rPr>
              <w:t>337.862</w:t>
            </w:r>
          </w:p>
        </w:tc>
        <w:tc>
          <w:tcPr>
            <w:tcW w:type="dxa" w:w="2196"/>
            <w:shd w:fill="EDF4FA"/>
          </w:tcPr>
          <w:p>
            <w:r>
              <w:rPr>
                <w:sz w:val="19"/>
              </w:rPr>
              <w:t>&lt;0.001</w:t>
            </w:r>
          </w:p>
        </w:tc>
        <w:tc>
          <w:tcPr>
            <w:tcW w:type="dxa" w:w="2196"/>
            <w:shd w:fill="EDF4FA"/>
          </w:tcPr>
          <w:p>
            <w:r>
              <w:rPr>
                <w:sz w:val="19"/>
              </w:rPr>
              <w:t>Cramér V: 0.217</w:t>
            </w:r>
          </w:p>
        </w:tc>
      </w:tr>
      <w:tr>
        <w:trPr>
          <w:cantSplit/>
        </w:trPr>
        <w:tc>
          <w:tcPr>
            <w:tcW w:type="dxa" w:w="2196"/>
          </w:tcPr>
          <w:p>
            <w:r>
              <w:rPr>
                <w:sz w:val="19"/>
              </w:rPr>
              <w:t>Welch ANOVA: HATT theo nhóm BMI</w:t>
            </w:r>
          </w:p>
        </w:tc>
        <w:tc>
          <w:tcPr>
            <w:tcW w:type="dxa" w:w="2196"/>
          </w:tcPr>
          <w:p>
            <w:r>
              <w:rPr>
                <w:sz w:val="19"/>
              </w:rPr>
              <w:t>164.677</w:t>
            </w:r>
          </w:p>
        </w:tc>
        <w:tc>
          <w:tcPr>
            <w:tcW w:type="dxa" w:w="2196"/>
          </w:tcPr>
          <w:p>
            <w:r>
              <w:rPr>
                <w:sz w:val="19"/>
              </w:rPr>
              <w:t>&lt;0.001</w:t>
            </w:r>
          </w:p>
        </w:tc>
        <w:tc>
          <w:tcPr>
            <w:tcW w:type="dxa" w:w="2196"/>
          </w:tcPr>
          <w:p>
            <w:r>
              <w:rPr>
                <w:sz w:val="19"/>
              </w:rPr>
              <w:t>F Welch: 164.677</w:t>
            </w:r>
          </w:p>
        </w:tc>
      </w:tr>
      <w:tr>
        <w:trPr>
          <w:cantSplit/>
        </w:trPr>
        <w:tc>
          <w:tcPr>
            <w:tcW w:type="dxa" w:w="2196"/>
            <w:shd w:fill="EDF4FA"/>
          </w:tcPr>
          <w:p>
            <w:r>
              <w:rPr>
                <w:sz w:val="19"/>
              </w:rPr>
              <w:t>Welch ANOVA: HATT theo nhóm tuổi</w:t>
            </w:r>
          </w:p>
        </w:tc>
        <w:tc>
          <w:tcPr>
            <w:tcW w:type="dxa" w:w="2196"/>
            <w:shd w:fill="EDF4FA"/>
          </w:tcPr>
          <w:p>
            <w:r>
              <w:rPr>
                <w:sz w:val="19"/>
              </w:rPr>
              <w:t>158.559</w:t>
            </w:r>
          </w:p>
        </w:tc>
        <w:tc>
          <w:tcPr>
            <w:tcW w:type="dxa" w:w="2196"/>
            <w:shd w:fill="EDF4FA"/>
          </w:tcPr>
          <w:p>
            <w:r>
              <w:rPr>
                <w:sz w:val="19"/>
              </w:rPr>
              <w:t>&lt;0.001</w:t>
            </w:r>
          </w:p>
        </w:tc>
        <w:tc>
          <w:tcPr>
            <w:tcW w:type="dxa" w:w="2196"/>
            <w:shd w:fill="EDF4FA"/>
          </w:tcPr>
          <w:p>
            <w:r>
              <w:rPr>
                <w:sz w:val="19"/>
              </w:rPr>
              <w:t>F Welch: 158.559</w:t>
            </w:r>
          </w:p>
        </w:tc>
      </w:tr>
      <w:tr>
        <w:trPr>
          <w:cantSplit/>
        </w:trPr>
        <w:tc>
          <w:tcPr>
            <w:tcW w:type="dxa" w:w="2196"/>
          </w:tcPr>
          <w:p>
            <w:r>
              <w:rPr>
                <w:sz w:val="19"/>
              </w:rPr>
              <w:t>Pearson: BMI–HATT</w:t>
            </w:r>
          </w:p>
        </w:tc>
        <w:tc>
          <w:tcPr>
            <w:tcW w:type="dxa" w:w="2196"/>
          </w:tcPr>
          <w:p>
            <w:r>
              <w:rPr>
                <w:sz w:val="19"/>
              </w:rPr>
              <w:t>0.287</w:t>
            </w:r>
          </w:p>
        </w:tc>
        <w:tc>
          <w:tcPr>
            <w:tcW w:type="dxa" w:w="2196"/>
          </w:tcPr>
          <w:p>
            <w:r>
              <w:rPr>
                <w:sz w:val="19"/>
              </w:rPr>
              <w:t>&lt;0.001</w:t>
            </w:r>
          </w:p>
        </w:tc>
        <w:tc>
          <w:tcPr>
            <w:tcW w:type="dxa" w:w="2196"/>
          </w:tcPr>
          <w:p>
            <w:r>
              <w:rPr>
                <w:sz w:val="19"/>
              </w:rPr>
              <w:t>r: 0.287</w:t>
            </w:r>
          </w:p>
        </w:tc>
      </w:tr>
      <w:tr>
        <w:trPr>
          <w:cantSplit/>
        </w:trPr>
        <w:tc>
          <w:tcPr>
            <w:tcW w:type="dxa" w:w="2196"/>
            <w:shd w:fill="EDF4FA"/>
          </w:tcPr>
          <w:p>
            <w:r>
              <w:rPr>
                <w:sz w:val="19"/>
              </w:rPr>
              <w:t>Spearman: BMI–HATT</w:t>
            </w:r>
          </w:p>
        </w:tc>
        <w:tc>
          <w:tcPr>
            <w:tcW w:type="dxa" w:w="2196"/>
            <w:shd w:fill="EDF4FA"/>
          </w:tcPr>
          <w:p>
            <w:r>
              <w:rPr>
                <w:sz w:val="19"/>
              </w:rPr>
              <w:t>0.335</w:t>
            </w:r>
          </w:p>
        </w:tc>
        <w:tc>
          <w:tcPr>
            <w:tcW w:type="dxa" w:w="2196"/>
            <w:shd w:fill="EDF4FA"/>
          </w:tcPr>
          <w:p>
            <w:r>
              <w:rPr>
                <w:sz w:val="19"/>
              </w:rPr>
              <w:t>&lt;0.001</w:t>
            </w:r>
          </w:p>
        </w:tc>
        <w:tc>
          <w:tcPr>
            <w:tcW w:type="dxa" w:w="2196"/>
            <w:shd w:fill="EDF4FA"/>
          </w:tcPr>
          <w:p>
            <w:r>
              <w:rPr>
                <w:sz w:val="19"/>
              </w:rPr>
              <w:t>rho: 0.335</w:t>
            </w:r>
          </w:p>
        </w:tc>
      </w:tr>
    </w:tbl>
    <w:p>
      <w:pPr>
        <w:spacing w:before="0" w:after="60" w:line="300" w:lineRule="auto"/>
      </w:pPr>
      <w:r>
        <w:rPr>
          <w:b w:val="0"/>
          <w:i w:val="0"/>
        </w:rPr>
      </w:r>
    </w:p>
    <w:p>
      <w:pPr>
        <w:jc w:val="center"/>
      </w:pPr>
      <w:r>
        <w:drawing>
          <wp:inline xmlns:a="http://schemas.openxmlformats.org/drawingml/2006/main" xmlns:pic="http://schemas.openxmlformats.org/drawingml/2006/picture">
            <wp:extent cx="5394960" cy="1949694"/>
            <wp:docPr id="5" name="Picture 5"/>
            <wp:cNvGraphicFramePr>
              <a:graphicFrameLocks noChangeAspect="1"/>
            </wp:cNvGraphicFramePr>
            <a:graphic>
              <a:graphicData uri="http://schemas.openxmlformats.org/drawingml/2006/picture">
                <pic:pic>
                  <pic:nvPicPr>
                    <pic:cNvPr id="0" name="02_bmi_groups_and_scatter.png"/>
                    <pic:cNvPicPr/>
                  </pic:nvPicPr>
                  <pic:blipFill>
                    <a:blip r:embed="rId23"/>
                    <a:stretch>
                      <a:fillRect/>
                    </a:stretch>
                  </pic:blipFill>
                  <pic:spPr>
                    <a:xfrm>
                      <a:off x="0" y="0"/>
                      <a:ext cx="5394960" cy="1949694"/>
                    </a:xfrm>
                    <a:prstGeom prst="rect"/>
                  </pic:spPr>
                </pic:pic>
              </a:graphicData>
            </a:graphic>
          </wp:inline>
        </w:drawing>
      </w:r>
    </w:p>
    <w:p>
      <w:pPr>
        <w:pStyle w:val="Caption"/>
        <w:spacing w:before="0" w:after="200" w:line="300" w:lineRule="auto"/>
        <w:jc w:val="center"/>
      </w:pPr>
      <w:r>
        <w:rPr>
          <w:b w:val="0"/>
          <w:i w:val="0"/>
        </w:rPr>
        <w:t>Figure 4.4. SBP by BMI group and the continuous BMI–SBP pattern.</w:t>
      </w:r>
    </w:p>
    <w:p>
      <w:pPr>
        <w:jc w:val="center"/>
      </w:pPr>
      <w:r>
        <w:drawing>
          <wp:inline xmlns:a="http://schemas.openxmlformats.org/drawingml/2006/main" xmlns:pic="http://schemas.openxmlformats.org/drawingml/2006/picture">
            <wp:extent cx="5029200" cy="2835158"/>
            <wp:docPr id="6" name="Picture 6"/>
            <wp:cNvGraphicFramePr>
              <a:graphicFrameLocks noChangeAspect="1"/>
            </wp:cNvGraphicFramePr>
            <a:graphic>
              <a:graphicData uri="http://schemas.openxmlformats.org/drawingml/2006/picture">
                <pic:pic>
                  <pic:nvPicPr>
                    <pic:cNvPr id="0" name="03_screening_rate_by_bmi.png"/>
                    <pic:cNvPicPr/>
                  </pic:nvPicPr>
                  <pic:blipFill>
                    <a:blip r:embed="rId24"/>
                    <a:stretch>
                      <a:fillRect/>
                    </a:stretch>
                  </pic:blipFill>
                  <pic:spPr>
                    <a:xfrm>
                      <a:off x="0" y="0"/>
                      <a:ext cx="5029200" cy="2835158"/>
                    </a:xfrm>
                    <a:prstGeom prst="rect"/>
                  </pic:spPr>
                </pic:pic>
              </a:graphicData>
            </a:graphic>
          </wp:inline>
        </w:drawing>
      </w:r>
    </w:p>
    <w:p>
      <w:pPr>
        <w:pStyle w:val="Caption"/>
        <w:spacing w:before="0" w:after="200" w:line="300" w:lineRule="auto"/>
        <w:jc w:val="center"/>
      </w:pPr>
      <w:r>
        <w:rPr>
          <w:b w:val="0"/>
          <w:i w:val="0"/>
        </w:rPr>
        <w:t>Figure 4.5. Screening-flag prevalence increased across BMI groups.</w:t>
      </w:r>
    </w:p>
    <w:p>
      <w:pPr>
        <w:spacing w:before="0" w:after="120" w:line="300" w:lineRule="auto"/>
      </w:pPr>
      <w:r>
        <w:rPr>
          <w:b w:val="0"/>
          <w:i w:val="0"/>
        </w:rPr>
        <w:t>The screening flag was associated with BMI group (χ² = 337.862, p &lt; 0.001; Cramér’s V = 0.217). The flag proportion rose from 6.6% in BMI &lt;18.5 to 38.3% in BMI ≥30. Expected cell frequencies met the Chi-square requirement, with a minimum expected frequency above 5.</w:t>
      </w:r>
    </w:p>
    <w:p>
      <w:pPr>
        <w:jc w:val="center"/>
      </w:pPr>
      <w:r>
        <w:drawing>
          <wp:inline xmlns:a="http://schemas.openxmlformats.org/drawingml/2006/main" xmlns:pic="http://schemas.openxmlformats.org/drawingml/2006/picture">
            <wp:extent cx="5303520" cy="2842661"/>
            <wp:docPr id="7" name="Picture 7"/>
            <wp:cNvGraphicFramePr>
              <a:graphicFrameLocks noChangeAspect="1"/>
            </wp:cNvGraphicFramePr>
            <a:graphic>
              <a:graphicData uri="http://schemas.openxmlformats.org/drawingml/2006/picture">
                <pic:pic>
                  <pic:nvPicPr>
                    <pic:cNvPr id="0" name="09_screening_heatmap_age_bmi.png"/>
                    <pic:cNvPicPr/>
                  </pic:nvPicPr>
                  <pic:blipFill>
                    <a:blip r:embed="rId25"/>
                    <a:stretch>
                      <a:fillRect/>
                    </a:stretch>
                  </pic:blipFill>
                  <pic:spPr>
                    <a:xfrm>
                      <a:off x="0" y="0"/>
                      <a:ext cx="5303520" cy="2842661"/>
                    </a:xfrm>
                    <a:prstGeom prst="rect"/>
                  </pic:spPr>
                </pic:pic>
              </a:graphicData>
            </a:graphic>
          </wp:inline>
        </w:drawing>
      </w:r>
    </w:p>
    <w:p>
      <w:pPr>
        <w:pStyle w:val="Caption"/>
        <w:spacing w:before="0" w:after="200" w:line="300" w:lineRule="auto"/>
        <w:jc w:val="center"/>
      </w:pPr>
      <w:r>
        <w:rPr>
          <w:b w:val="0"/>
          <w:i w:val="0"/>
        </w:rPr>
        <w:t>Figure 4.6. Screening-flag prevalence by age group and BMI group.</w:t>
      </w:r>
    </w:p>
    <w:p>
      <w:pPr>
        <w:pStyle w:val="ResearchHeading2"/>
      </w:pPr>
      <w:r>
        <w:t>4.4 Correlation analysis</w:t>
      </w:r>
    </w:p>
    <w:p>
      <w:pPr>
        <w:spacing w:before="0" w:after="120" w:line="300" w:lineRule="auto"/>
      </w:pPr>
      <w:r>
        <w:rPr>
          <w:b w:val="0"/>
          <w:i w:val="0"/>
        </w:rPr>
        <w:t>BMI and SBP showed a positive association: Pearson r = 0.287 and Spearman ρ = 0.335, both p &lt; 0.001. The magnitude is low-to-moderate rather than deterministic, indicating that BMI is one correlate among multiple contributors to SBP variation.</w:t>
      </w:r>
    </w:p>
    <w:p>
      <w:pPr>
        <w:jc w:val="center"/>
      </w:pPr>
      <w:r>
        <w:drawing>
          <wp:inline xmlns:a="http://schemas.openxmlformats.org/drawingml/2006/main" xmlns:pic="http://schemas.openxmlformats.org/drawingml/2006/picture">
            <wp:extent cx="4846320" cy="4156582"/>
            <wp:docPr id="8" name="Picture 8"/>
            <wp:cNvGraphicFramePr>
              <a:graphicFrameLocks noChangeAspect="1"/>
            </wp:cNvGraphicFramePr>
            <a:graphic>
              <a:graphicData uri="http://schemas.openxmlformats.org/drawingml/2006/picture">
                <pic:pic>
                  <pic:nvPicPr>
                    <pic:cNvPr id="0" name="10_spearman_correlation_heatmap.png"/>
                    <pic:cNvPicPr/>
                  </pic:nvPicPr>
                  <pic:blipFill>
                    <a:blip r:embed="rId26"/>
                    <a:stretch>
                      <a:fillRect/>
                    </a:stretch>
                  </pic:blipFill>
                  <pic:spPr>
                    <a:xfrm>
                      <a:off x="0" y="0"/>
                      <a:ext cx="4846320" cy="4156582"/>
                    </a:xfrm>
                    <a:prstGeom prst="rect"/>
                  </pic:spPr>
                </pic:pic>
              </a:graphicData>
            </a:graphic>
          </wp:inline>
        </w:drawing>
      </w:r>
    </w:p>
    <w:p>
      <w:pPr>
        <w:pStyle w:val="Caption"/>
        <w:spacing w:before="0" w:after="200" w:line="300" w:lineRule="auto"/>
        <w:jc w:val="center"/>
      </w:pPr>
      <w:r>
        <w:rPr>
          <w:b w:val="0"/>
          <w:i w:val="0"/>
        </w:rPr>
        <w:t>Figure 4.7. Spearman correlation matrix of continuous analytical variables.</w:t>
      </w:r>
    </w:p>
    <w:p>
      <w:pPr>
        <w:pStyle w:val="ResearchHeading2"/>
      </w:pPr>
      <w:r>
        <w:t>4.5 Adjusted regression findings</w:t>
      </w:r>
    </w:p>
    <w:tbl>
      <w:tblPr>
        <w:tblStyle w:val="TableGrid"/>
        <w:tblW w:type="auto" w:w="0"/>
        <w:tblLayout w:type="autofit"/>
        <w:tblLook w:firstColumn="1" w:firstRow="1" w:lastColumn="0" w:lastRow="0" w:noHBand="0" w:noVBand="1" w:val="04A0"/>
      </w:tblPr>
      <w:tblGrid>
        <w:gridCol w:w="2196"/>
        <w:gridCol w:w="2196"/>
        <w:gridCol w:w="2196"/>
        <w:gridCol w:w="2196"/>
      </w:tblGrid>
      <w:tr>
        <w:trPr>
          <w:tblHeader w:val="true"/>
        </w:trPr>
        <w:tc>
          <w:tcPr>
            <w:tcW w:type="dxa" w:w="2196"/>
            <w:shd w:fill="1F4E78"/>
          </w:tcPr>
          <w:p>
            <w:r>
              <w:rPr>
                <w:b/>
                <w:sz w:val="19"/>
              </w:rPr>
              <w:t>Term</w:t>
            </w:r>
          </w:p>
        </w:tc>
        <w:tc>
          <w:tcPr>
            <w:tcW w:type="dxa" w:w="2196"/>
            <w:shd w:fill="1F4E78"/>
          </w:tcPr>
          <w:p>
            <w:r>
              <w:rPr>
                <w:b/>
                <w:sz w:val="19"/>
              </w:rPr>
              <w:t>β</w:t>
            </w:r>
          </w:p>
        </w:tc>
        <w:tc>
          <w:tcPr>
            <w:tcW w:type="dxa" w:w="2196"/>
            <w:shd w:fill="1F4E78"/>
          </w:tcPr>
          <w:p>
            <w:r>
              <w:rPr>
                <w:b/>
                <w:sz w:val="19"/>
              </w:rPr>
              <w:t>95% CI</w:t>
            </w:r>
          </w:p>
        </w:tc>
        <w:tc>
          <w:tcPr>
            <w:tcW w:type="dxa" w:w="2196"/>
            <w:shd w:fill="1F4E78"/>
          </w:tcPr>
          <w:p>
            <w:r>
              <w:rPr>
                <w:b/>
                <w:sz w:val="19"/>
              </w:rPr>
              <w:t>Interpretation</w:t>
            </w:r>
          </w:p>
        </w:tc>
      </w:tr>
      <w:tr>
        <w:trPr>
          <w:cantSplit/>
        </w:trPr>
        <w:tc>
          <w:tcPr>
            <w:tcW w:type="dxa" w:w="2196"/>
          </w:tcPr>
          <w:p>
            <w:r>
              <w:rPr>
                <w:sz w:val="19"/>
              </w:rPr>
              <w:t>Hằng số</w:t>
            </w:r>
          </w:p>
        </w:tc>
        <w:tc>
          <w:tcPr>
            <w:tcW w:type="dxa" w:w="2196"/>
          </w:tcPr>
          <w:p>
            <w:r>
              <w:rPr>
                <w:sz w:val="19"/>
              </w:rPr>
              <w:t>59.795</w:t>
            </w:r>
          </w:p>
        </w:tc>
        <w:tc>
          <w:tcPr>
            <w:tcW w:type="dxa" w:w="2196"/>
          </w:tcPr>
          <w:p>
            <w:r>
              <w:rPr>
                <w:sz w:val="19"/>
              </w:rPr>
              <w:t>56.470 to 63.120</w:t>
            </w:r>
          </w:p>
        </w:tc>
        <w:tc>
          <w:tcPr>
            <w:tcW w:type="dxa" w:w="2196"/>
          </w:tcPr>
          <w:p>
            <w:r>
              <w:rPr>
                <w:sz w:val="19"/>
              </w:rPr>
              <w:t>p &lt; 0.001</w:t>
            </w:r>
          </w:p>
        </w:tc>
      </w:tr>
      <w:tr>
        <w:trPr>
          <w:cantSplit/>
        </w:trPr>
        <w:tc>
          <w:tcPr>
            <w:tcW w:type="dxa" w:w="2196"/>
            <w:shd w:fill="EDF4FA"/>
          </w:tcPr>
          <w:p>
            <w:r>
              <w:rPr>
                <w:sz w:val="19"/>
              </w:rPr>
              <w:t>BMI (kg/m²)</w:t>
            </w:r>
          </w:p>
        </w:tc>
        <w:tc>
          <w:tcPr>
            <w:tcW w:type="dxa" w:w="2196"/>
            <w:shd w:fill="EDF4FA"/>
          </w:tcPr>
          <w:p>
            <w:r>
              <w:rPr>
                <w:sz w:val="19"/>
              </w:rPr>
              <w:t>0.861</w:t>
            </w:r>
          </w:p>
        </w:tc>
        <w:tc>
          <w:tcPr>
            <w:tcW w:type="dxa" w:w="2196"/>
            <w:shd w:fill="EDF4FA"/>
          </w:tcPr>
          <w:p>
            <w:r>
              <w:rPr>
                <w:sz w:val="19"/>
              </w:rPr>
              <w:t>0.778 to 0.944</w:t>
            </w:r>
          </w:p>
        </w:tc>
        <w:tc>
          <w:tcPr>
            <w:tcW w:type="dxa" w:w="2196"/>
            <w:shd w:fill="EDF4FA"/>
          </w:tcPr>
          <w:p>
            <w:r>
              <w:rPr>
                <w:sz w:val="19"/>
              </w:rPr>
              <w:t>p &lt; 0.001</w:t>
            </w:r>
          </w:p>
        </w:tc>
      </w:tr>
      <w:tr>
        <w:trPr>
          <w:cantSplit/>
        </w:trPr>
        <w:tc>
          <w:tcPr>
            <w:tcW w:type="dxa" w:w="2196"/>
          </w:tcPr>
          <w:p>
            <w:r>
              <w:rPr>
                <w:sz w:val="19"/>
              </w:rPr>
              <w:t>Tuổi (năm)</w:t>
            </w:r>
          </w:p>
        </w:tc>
        <w:tc>
          <w:tcPr>
            <w:tcW w:type="dxa" w:w="2196"/>
          </w:tcPr>
          <w:p>
            <w:r>
              <w:rPr>
                <w:sz w:val="19"/>
              </w:rPr>
              <w:t>0.405</w:t>
            </w:r>
          </w:p>
        </w:tc>
        <w:tc>
          <w:tcPr>
            <w:tcW w:type="dxa" w:w="2196"/>
          </w:tcPr>
          <w:p>
            <w:r>
              <w:rPr>
                <w:sz w:val="19"/>
              </w:rPr>
              <w:t>0.379 to 0.431</w:t>
            </w:r>
          </w:p>
        </w:tc>
        <w:tc>
          <w:tcPr>
            <w:tcW w:type="dxa" w:w="2196"/>
          </w:tcPr>
          <w:p>
            <w:r>
              <w:rPr>
                <w:sz w:val="19"/>
              </w:rPr>
              <w:t>p &lt; 0.001</w:t>
            </w:r>
          </w:p>
        </w:tc>
      </w:tr>
      <w:tr>
        <w:trPr>
          <w:cantSplit/>
        </w:trPr>
        <w:tc>
          <w:tcPr>
            <w:tcW w:type="dxa" w:w="2196"/>
            <w:shd w:fill="EDF4FA"/>
          </w:tcPr>
          <w:p>
            <w:r>
              <w:rPr>
                <w:sz w:val="19"/>
              </w:rPr>
              <w:t>Nam so với Nữ</w:t>
            </w:r>
          </w:p>
        </w:tc>
        <w:tc>
          <w:tcPr>
            <w:tcW w:type="dxa" w:w="2196"/>
            <w:shd w:fill="EDF4FA"/>
          </w:tcPr>
          <w:p>
            <w:r>
              <w:rPr>
                <w:sz w:val="19"/>
              </w:rPr>
              <w:t>9.967</w:t>
            </w:r>
          </w:p>
        </w:tc>
        <w:tc>
          <w:tcPr>
            <w:tcW w:type="dxa" w:w="2196"/>
            <w:shd w:fill="EDF4FA"/>
          </w:tcPr>
          <w:p>
            <w:r>
              <w:rPr>
                <w:sz w:val="19"/>
              </w:rPr>
              <w:t>9.295 to 10.638</w:t>
            </w:r>
          </w:p>
        </w:tc>
        <w:tc>
          <w:tcPr>
            <w:tcW w:type="dxa" w:w="2196"/>
            <w:shd w:fill="EDF4FA"/>
          </w:tcPr>
          <w:p>
            <w:r>
              <w:rPr>
                <w:sz w:val="19"/>
              </w:rPr>
              <w:t>p &lt; 0.001</w:t>
            </w:r>
          </w:p>
        </w:tc>
      </w:tr>
      <w:tr>
        <w:trPr>
          <w:cantSplit/>
        </w:trPr>
        <w:tc>
          <w:tcPr>
            <w:tcW w:type="dxa" w:w="2196"/>
          </w:tcPr>
          <w:p>
            <w:r>
              <w:rPr>
                <w:sz w:val="19"/>
              </w:rPr>
              <w:t>Mạch (lần/phút)</w:t>
            </w:r>
          </w:p>
        </w:tc>
        <w:tc>
          <w:tcPr>
            <w:tcW w:type="dxa" w:w="2196"/>
          </w:tcPr>
          <w:p>
            <w:r>
              <w:rPr>
                <w:sz w:val="19"/>
              </w:rPr>
              <w:t>0.250</w:t>
            </w:r>
          </w:p>
        </w:tc>
        <w:tc>
          <w:tcPr>
            <w:tcW w:type="dxa" w:w="2196"/>
          </w:tcPr>
          <w:p>
            <w:r>
              <w:rPr>
                <w:sz w:val="19"/>
              </w:rPr>
              <w:t>0.218 to 0.281</w:t>
            </w:r>
          </w:p>
        </w:tc>
        <w:tc>
          <w:tcPr>
            <w:tcW w:type="dxa" w:w="2196"/>
          </w:tcPr>
          <w:p>
            <w:r>
              <w:rPr>
                <w:sz w:val="19"/>
              </w:rPr>
              <w:t>p &lt; 0.001</w:t>
            </w:r>
          </w:p>
        </w:tc>
      </w:tr>
    </w:tbl>
    <w:p>
      <w:pPr>
        <w:spacing w:before="0" w:after="60" w:line="300" w:lineRule="auto"/>
      </w:pPr>
      <w:r>
        <w:rPr>
          <w:b w:val="0"/>
          <w:i w:val="0"/>
        </w:rPr>
      </w:r>
    </w:p>
    <w:p>
      <w:pPr>
        <w:spacing w:before="0" w:after="120" w:line="300" w:lineRule="auto"/>
      </w:pPr>
      <w:r>
        <w:rPr>
          <w:b w:val="0"/>
          <w:i w:val="0"/>
        </w:rPr>
        <w:t>The adjusted model had R² = 0.257, adjusted R² = 0.256, and RMSE = 14.07 mmHg. Holding age, sex, and pulse constant, a one-unit higher BMI was associated with 0.861 mmHg higher SBP. The model explains a meaningful but incomplete proportion of variation; unmeasured factors such as medication, diet, smoking, alcohol use, physical activity, and comorbidity remain possible sources of residual variation.</w:t>
      </w:r>
    </w:p>
    <w:p>
      <w:pPr>
        <w:jc w:val="center"/>
      </w:pPr>
      <w:r>
        <w:drawing>
          <wp:inline xmlns:a="http://schemas.openxmlformats.org/drawingml/2006/main" xmlns:pic="http://schemas.openxmlformats.org/drawingml/2006/picture">
            <wp:extent cx="5120640" cy="2646301"/>
            <wp:docPr id="9" name="Picture 9"/>
            <wp:cNvGraphicFramePr>
              <a:graphicFrameLocks noChangeAspect="1"/>
            </wp:cNvGraphicFramePr>
            <a:graphic>
              <a:graphicData uri="http://schemas.openxmlformats.org/drawingml/2006/picture">
                <pic:pic>
                  <pic:nvPicPr>
                    <pic:cNvPr id="0" name="11_regression_forest_plot.png"/>
                    <pic:cNvPicPr/>
                  </pic:nvPicPr>
                  <pic:blipFill>
                    <a:blip r:embed="rId27"/>
                    <a:stretch>
                      <a:fillRect/>
                    </a:stretch>
                  </pic:blipFill>
                  <pic:spPr>
                    <a:xfrm>
                      <a:off x="0" y="0"/>
                      <a:ext cx="5120640" cy="2646301"/>
                    </a:xfrm>
                    <a:prstGeom prst="rect"/>
                  </pic:spPr>
                </pic:pic>
              </a:graphicData>
            </a:graphic>
          </wp:inline>
        </w:drawing>
      </w:r>
    </w:p>
    <w:p>
      <w:pPr>
        <w:pStyle w:val="Caption"/>
        <w:spacing w:before="0" w:after="200" w:line="300" w:lineRule="auto"/>
        <w:jc w:val="center"/>
      </w:pPr>
      <w:r>
        <w:rPr>
          <w:b w:val="0"/>
          <w:i w:val="0"/>
        </w:rPr>
        <w:t>Figure 4.8. Adjusted SBP differences expressed in practical increments with 95% confidence intervals.</w:t>
      </w:r>
    </w:p>
    <w:p>
      <w:pPr>
        <w:jc w:val="center"/>
      </w:pPr>
      <w:r>
        <w:drawing>
          <wp:inline xmlns:a="http://schemas.openxmlformats.org/drawingml/2006/main" xmlns:pic="http://schemas.openxmlformats.org/drawingml/2006/picture">
            <wp:extent cx="5394960" cy="2080013"/>
            <wp:docPr id="10" name="Picture 10"/>
            <wp:cNvGraphicFramePr>
              <a:graphicFrameLocks noChangeAspect="1"/>
            </wp:cNvGraphicFramePr>
            <a:graphic>
              <a:graphicData uri="http://schemas.openxmlformats.org/drawingml/2006/picture">
                <pic:pic>
                  <pic:nvPicPr>
                    <pic:cNvPr id="0" name="04_regression_diagnostics.png"/>
                    <pic:cNvPicPr/>
                  </pic:nvPicPr>
                  <pic:blipFill>
                    <a:blip r:embed="rId28"/>
                    <a:stretch>
                      <a:fillRect/>
                    </a:stretch>
                  </pic:blipFill>
                  <pic:spPr>
                    <a:xfrm>
                      <a:off x="0" y="0"/>
                      <a:ext cx="5394960" cy="2080013"/>
                    </a:xfrm>
                    <a:prstGeom prst="rect"/>
                  </pic:spPr>
                </pic:pic>
              </a:graphicData>
            </a:graphic>
          </wp:inline>
        </w:drawing>
      </w:r>
    </w:p>
    <w:p>
      <w:pPr>
        <w:pStyle w:val="Caption"/>
        <w:spacing w:before="0" w:after="200" w:line="300" w:lineRule="auto"/>
        <w:jc w:val="center"/>
      </w:pPr>
      <w:r>
        <w:rPr>
          <w:b w:val="0"/>
          <w:i w:val="0"/>
        </w:rPr>
        <w:t>Figure 4.9. Regression residual diagnostics.</w:t>
      </w:r>
    </w:p>
    <w:p>
      <w:pPr>
        <w:pStyle w:val="ResearchHeading2"/>
      </w:pPr>
      <w:r>
        <w:t>4.6 Sensitivity analysis</w:t>
      </w:r>
    </w:p>
    <w:p>
      <w:pPr>
        <w:spacing w:before="0" w:after="120" w:line="300" w:lineRule="auto"/>
      </w:pPr>
      <w:r>
        <w:rPr>
          <w:b w:val="0"/>
          <w:i w:val="0"/>
        </w:rPr>
        <w:t>The BMI coefficient was 0.861 mmHg/1 BMI in the main analysis and 0.852 after excluding the 118 repeat-flagged encounters. This small change supports robustness of the principal association to this data-quality decision.</w:t>
      </w:r>
    </w:p>
    <w:p>
      <w:pPr>
        <w:jc w:val="center"/>
      </w:pPr>
      <w:r>
        <w:drawing>
          <wp:inline xmlns:a="http://schemas.openxmlformats.org/drawingml/2006/main" xmlns:pic="http://schemas.openxmlformats.org/drawingml/2006/picture">
            <wp:extent cx="4937760" cy="2615496"/>
            <wp:docPr id="11" name="Picture 11"/>
            <wp:cNvGraphicFramePr>
              <a:graphicFrameLocks noChangeAspect="1"/>
            </wp:cNvGraphicFramePr>
            <a:graphic>
              <a:graphicData uri="http://schemas.openxmlformats.org/drawingml/2006/picture">
                <pic:pic>
                  <pic:nvPicPr>
                    <pic:cNvPr id="0" name="12_sensitivity_repeat_flag.png"/>
                    <pic:cNvPicPr/>
                  </pic:nvPicPr>
                  <pic:blipFill>
                    <a:blip r:embed="rId29"/>
                    <a:stretch>
                      <a:fillRect/>
                    </a:stretch>
                  </pic:blipFill>
                  <pic:spPr>
                    <a:xfrm>
                      <a:off x="0" y="0"/>
                      <a:ext cx="4937760" cy="2615496"/>
                    </a:xfrm>
                    <a:prstGeom prst="rect"/>
                  </pic:spPr>
                </pic:pic>
              </a:graphicData>
            </a:graphic>
          </wp:inline>
        </w:drawing>
      </w:r>
    </w:p>
    <w:p>
      <w:pPr>
        <w:pStyle w:val="Caption"/>
        <w:spacing w:before="0" w:after="200" w:line="300" w:lineRule="auto"/>
        <w:jc w:val="center"/>
      </w:pPr>
      <w:r>
        <w:rPr>
          <w:b w:val="0"/>
          <w:i w:val="0"/>
        </w:rPr>
        <w:t>Figure 4.10. Stability of the BMI coefficient in the repeat-flag sensitivity analysis.</w:t>
      </w:r>
    </w:p>
    <w:p>
      <w:r>
        <w:br w:type="page"/>
      </w:r>
    </w:p>
    <w:p>
      <w:pPr>
        <w:pStyle w:val="ResearchHeading1"/>
      </w:pPr>
      <w:r>
        <w:t>CHAPTER 5. DISCUSSION</w:t>
      </w:r>
    </w:p>
    <w:p>
      <w:pPr>
        <w:pStyle w:val="ResearchHeading2"/>
      </w:pPr>
      <w:r>
        <w:t>5.1 Principal findings</w:t>
      </w:r>
    </w:p>
    <w:p>
      <w:pPr>
        <w:spacing w:before="0" w:after="120" w:line="300" w:lineRule="auto"/>
      </w:pPr>
      <w:r>
        <w:rPr>
          <w:b w:val="0"/>
          <w:i w:val="0"/>
        </w:rPr>
        <w:t>This analysis found a consistent positive statistical relationship between BMI and SBP in de-identified community screening encounters. The association appeared in continuous correlation analysis, BMI-group comparisons, the screening-flag gradient, and adjusted regression. The sensitivity analysis produced a nearly unchanged BMI coefficient after excluding repeat-flagged encounters.</w:t>
      </w:r>
    </w:p>
    <w:p>
      <w:pPr>
        <w:pStyle w:val="ResearchHeading2"/>
      </w:pPr>
      <w:r>
        <w:t>5.2 Interpretation in context</w:t>
      </w:r>
    </w:p>
    <w:p>
      <w:pPr>
        <w:spacing w:before="0" w:after="120" w:line="300" w:lineRule="auto"/>
      </w:pPr>
      <w:r>
        <w:rPr>
          <w:b w:val="0"/>
          <w:i w:val="0"/>
        </w:rPr>
        <w:t>The observed direction is consistent with Vietnamese cross-sectional studies linking anthropometric measures to blood-pressure outcomes. Nevertheless, the present analysis should not be treated as a direct replication because its population, screening pathway, covariate availability, and data-cleaning rules differ. In particular, absence of waist circumference prevents a comparison between BMI and central-adiposity indicators.</w:t>
      </w:r>
    </w:p>
    <w:p>
      <w:pPr>
        <w:pStyle w:val="ResearchHeading2"/>
      </w:pPr>
      <w:r>
        <w:t>5.3 Practical significance</w:t>
      </w:r>
    </w:p>
    <w:p>
      <w:pPr>
        <w:spacing w:before="0" w:after="120" w:line="300" w:lineRule="auto"/>
      </w:pPr>
      <w:r>
        <w:rPr>
          <w:b w:val="0"/>
          <w:i w:val="0"/>
        </w:rPr>
        <w:t>The pattern may assist programme-level prioritisation. For example, the age-by-BMI heatmap indicates higher screening-flag prevalence in several combinations of older age and higher BMI. This can guide outreach or follow-up planning, but it must not be converted into an automated diagnosis, a treatment rule, or advice for an individual without clinical assessment.</w:t>
      </w:r>
    </w:p>
    <w:p>
      <w:pPr>
        <w:pStyle w:val="ResearchHeading2"/>
      </w:pPr>
      <w:r>
        <w:t>5.4 Strengths</w:t>
      </w:r>
    </w:p>
    <w:p>
      <w:pPr>
        <w:spacing w:after="40"/>
        <w:ind w:left="360" w:hanging="230"/>
      </w:pPr>
      <w:r>
        <w:t>• A large analytical sample with one data source used consistently across all rubric components.</w:t>
      </w:r>
    </w:p>
    <w:p>
      <w:pPr>
        <w:spacing w:after="40"/>
        <w:ind w:left="360" w:hanging="230"/>
      </w:pPr>
      <w:r>
        <w:t>• Explicit audits of completeness, uniqueness, outliers, expected frequencies, variance homogeneity and residual patterns.</w:t>
      </w:r>
    </w:p>
    <w:p>
      <w:pPr>
        <w:spacing w:after="40"/>
        <w:ind w:left="360" w:hanging="230"/>
      </w:pPr>
      <w:r>
        <w:t>• Reporting of confidence intervals and effect sizes alongside p-values.</w:t>
      </w:r>
    </w:p>
    <w:p>
      <w:pPr>
        <w:spacing w:after="40"/>
        <w:ind w:left="360" w:hanging="230"/>
      </w:pPr>
      <w:r>
        <w:t>• Welch ANOVA and Holm-adjusted follow-up tests added when equal-variance assumptions were not supported.</w:t>
      </w:r>
    </w:p>
    <w:p>
      <w:pPr>
        <w:spacing w:after="40"/>
        <w:ind w:left="360" w:hanging="230"/>
      </w:pPr>
      <w:r>
        <w:t>• Sensitivity analysis and visual stratification added beyond minimum course requirements.</w:t>
      </w:r>
    </w:p>
    <w:p>
      <w:pPr>
        <w:pStyle w:val="ResearchHeading2"/>
      </w:pPr>
      <w:r>
        <w:t>5.5 Limitations</w:t>
      </w:r>
    </w:p>
    <w:p>
      <w:pPr>
        <w:spacing w:after="40"/>
        <w:ind w:left="360" w:hanging="230"/>
      </w:pPr>
      <w:r>
        <w:t>• The cross-sectional design cannot establish that BMI causes an SBP change.</w:t>
      </w:r>
    </w:p>
    <w:p>
      <w:pPr>
        <w:spacing w:after="40"/>
        <w:ind w:left="360" w:hanging="230"/>
      </w:pPr>
      <w:r>
        <w:t>• An encounter-level dataset may not fully capture person-level longitudinal dependence.</w:t>
      </w:r>
    </w:p>
    <w:p>
      <w:pPr>
        <w:spacing w:after="40"/>
        <w:ind w:left="360" w:hanging="230"/>
      </w:pPr>
      <w:r>
        <w:t>• The screening flag does not confirm hypertension.</w:t>
      </w:r>
    </w:p>
    <w:p>
      <w:pPr>
        <w:spacing w:after="40"/>
        <w:ind w:left="360" w:hanging="230"/>
      </w:pPr>
      <w:r>
        <w:t>• Lifestyle, medication, waist circumference and clinical-comorbidity data were unavailable.</w:t>
      </w:r>
    </w:p>
    <w:p>
      <w:pPr>
        <w:spacing w:after="40"/>
        <w:ind w:left="360" w:hanging="230"/>
      </w:pPr>
      <w:r>
        <w:t>• The screening sample is not a probability sample of all Vietnamese adults.</w:t>
      </w:r>
    </w:p>
    <w:p>
      <w:pPr>
        <w:spacing w:after="40"/>
        <w:ind w:left="360" w:hanging="230"/>
      </w:pPr>
      <w:r>
        <w:t>• Residual Q–Q tails depart from normality; regression inference should be interpreted with appropriate caution.</w:t>
      </w:r>
    </w:p>
    <w:p>
      <w:r>
        <w:br w:type="page"/>
      </w:r>
    </w:p>
    <w:p>
      <w:pPr>
        <w:pStyle w:val="ResearchHeading1"/>
      </w:pPr>
      <w:r>
        <w:t>CHAPTER 6. CONCLUSION AND RECOMMENDATIONS</w:t>
      </w:r>
    </w:p>
    <w:p>
      <w:pPr>
        <w:pStyle w:val="ResearchHeading2"/>
      </w:pPr>
      <w:r>
        <w:t>6.1 Conclusion</w:t>
      </w:r>
    </w:p>
    <w:p>
      <w:pPr>
        <w:spacing w:before="0" w:after="120" w:line="300" w:lineRule="auto"/>
      </w:pPr>
      <w:r>
        <w:rPr>
          <w:b w:val="0"/>
          <w:i w:val="0"/>
        </w:rPr>
        <w:t>The project meets the full analytical requirements of exploratory analysis, probability-distribution assessment, hypothesis testing, correlation analysis and multiple linear regression using one consistent dataset. BMI was positively associated with SBP after adjustment for age, sex and pulse. The screening-flag proportion rose substantially across BMI groups, and the principal BMI association remained stable in the repeat-flag sensitivity analysis.</w:t>
      </w:r>
    </w:p>
    <w:p>
      <w:pPr>
        <w:pStyle w:val="ResearchHeading2"/>
      </w:pPr>
      <w:r>
        <w:t>6.2 Recommendations</w:t>
      </w:r>
    </w:p>
    <w:p>
      <w:pPr>
        <w:spacing w:after="40"/>
        <w:ind w:left="360" w:hanging="230"/>
      </w:pPr>
      <w:r>
        <w:t>• Future data collection should add waist circumference, medication, smoking, alcohol use, dietary factors, physical activity and comorbidity variables.</w:t>
      </w:r>
    </w:p>
    <w:p>
      <w:pPr>
        <w:spacing w:after="40"/>
        <w:ind w:left="360" w:hanging="230"/>
      </w:pPr>
      <w:r>
        <w:t>• A future longitudinal design should distinguish repeated persons and assess within-person change over time.</w:t>
      </w:r>
    </w:p>
    <w:p>
      <w:pPr>
        <w:spacing w:after="40"/>
        <w:ind w:left="360" w:hanging="230"/>
      </w:pPr>
      <w:r>
        <w:t>• Screening programmes may use the aggregate patterns to prioritise education and follow-up, while preserving clinician judgement and consent boundaries.</w:t>
      </w:r>
    </w:p>
    <w:p>
      <w:pPr>
        <w:spacing w:after="40"/>
        <w:ind w:left="360" w:hanging="230"/>
      </w:pPr>
      <w:r>
        <w:t>• Any external dissemination should remain de-identified and follow the access controls applied to the research dataset.</w:t>
      </w:r>
    </w:p>
    <w:p>
      <w:pPr>
        <w:pStyle w:val="ResearchHeading2"/>
      </w:pPr>
      <w:r>
        <w:t>6.3 Reproducibility statement</w:t>
      </w:r>
    </w:p>
    <w:p>
      <w:pPr>
        <w:spacing w:before="0" w:after="120" w:line="300" w:lineRule="auto"/>
      </w:pPr>
      <w:r>
        <w:rPr>
          <w:b w:val="0"/>
          <w:i w:val="0"/>
        </w:rPr>
        <w:t>The submitted notebook contains executable Python code, figures and aggregate result tables. It is configured to read a de-identified CSV through data/Research_Data.csv or an M3_DATA_PATH environment variable. The identifiable source workbook is not included. The analysis is reproducible for authorised users with access to the de-identified research CSV.</w:t>
      </w:r>
    </w:p>
    <w:p>
      <w:r>
        <w:br w:type="page"/>
      </w:r>
    </w:p>
    <w:p>
      <w:pPr>
        <w:pStyle w:val="ResearchHeading1"/>
      </w:pPr>
      <w:r>
        <w:t>REFERENCES</w:t>
      </w:r>
    </w:p>
    <w:p>
      <w:pPr>
        <w:spacing w:before="0" w:after="160" w:line="300" w:lineRule="auto"/>
      </w:pPr>
      <w:r>
        <w:rPr>
          <w:b w:val="0"/>
          <w:i w:val="0"/>
        </w:rPr>
        <w:t>Nguyen Minh, Q., &amp; Nguyen Vo, M. (2020). Anthropometric indexes for predicting high blood pressure in Vietnamese adults: A cross-sectional study. Integrative Blood Pressure Control, 13, 181–186. https://doi.org/10.2147/IBPC.S281996.</w:t>
      </w:r>
    </w:p>
    <w:p>
      <w:pPr>
        <w:spacing w:before="0" w:after="160" w:line="300" w:lineRule="auto"/>
      </w:pPr>
      <w:r>
        <w:rPr>
          <w:b w:val="0"/>
          <w:i w:val="0"/>
        </w:rPr>
        <w:t>Wang, J., et al. (2018). The importance of waist circumference and body mass index in cross-sectional relationships with risk of cardiovascular disease in Vietnam. PLoS ONE. PMID: 29813112.</w:t>
      </w:r>
    </w:p>
    <w:p>
      <w:pPr>
        <w:spacing w:before="0" w:after="160" w:line="300" w:lineRule="auto"/>
      </w:pPr>
      <w:r>
        <w:rPr>
          <w:b w:val="0"/>
          <w:i w:val="0"/>
        </w:rPr>
        <w:t>Nguyen Duc, N., et al. (2019). Impact of body mass index and waist circumference on blood pressure: A cross-sectional survey in a population living in the Vietnam northern mountainous. Diabetes &amp; Metabolic Syndrome, 13(2), 1399–1404. https://doi.org/10.1016/j.dsx.2019.02.015.</w:t>
      </w:r>
    </w:p>
    <w:p>
      <w:pPr>
        <w:spacing w:before="0" w:after="160" w:line="300" w:lineRule="auto"/>
      </w:pPr>
      <w:r>
        <w:rPr>
          <w:b w:val="0"/>
          <w:i w:val="0"/>
        </w:rPr>
        <w:t>American Statistical Association. (2016). ASA statement on statistical significance and p-values. The American Statistician, 70(2), 129–133.</w:t>
      </w:r>
    </w:p>
    <w:p>
      <w:r>
        <w:br w:type="page"/>
      </w:r>
    </w:p>
    <w:p>
      <w:pPr>
        <w:pStyle w:val="ResearchHeading1"/>
      </w:pPr>
      <w:r>
        <w:t>APPENDICES</w:t>
      </w:r>
    </w:p>
    <w:p>
      <w:pPr>
        <w:pStyle w:val="ResearchHeading2"/>
      </w:pPr>
      <w:r>
        <w:t>Appendix A. Data dictionary</w:t>
      </w:r>
    </w:p>
    <w:tbl>
      <w:tblPr>
        <w:tblStyle w:val="TableGrid"/>
        <w:tblW w:type="auto" w:w="0"/>
        <w:tblLayout w:type="autofit"/>
        <w:tblLook w:firstColumn="1" w:firstRow="1" w:lastColumn="0" w:lastRow="0" w:noHBand="0" w:noVBand="1" w:val="04A0"/>
      </w:tblPr>
      <w:tblGrid>
        <w:gridCol w:w="2196"/>
        <w:gridCol w:w="2196"/>
        <w:gridCol w:w="2196"/>
        <w:gridCol w:w="2196"/>
      </w:tblGrid>
      <w:tr>
        <w:trPr>
          <w:tblHeader w:val="true"/>
        </w:trPr>
        <w:tc>
          <w:tcPr>
            <w:tcW w:type="dxa" w:w="2196"/>
            <w:shd w:fill="1F4E78"/>
          </w:tcPr>
          <w:p>
            <w:r>
              <w:rPr>
                <w:b/>
                <w:sz w:val="19"/>
              </w:rPr>
              <w:t>Vietnamese field</w:t>
            </w:r>
          </w:p>
        </w:tc>
        <w:tc>
          <w:tcPr>
            <w:tcW w:type="dxa" w:w="2196"/>
            <w:shd w:fill="1F4E78"/>
          </w:tcPr>
          <w:p>
            <w:r>
              <w:rPr>
                <w:b/>
                <w:sz w:val="19"/>
              </w:rPr>
              <w:t>English analytical name</w:t>
            </w:r>
          </w:p>
        </w:tc>
        <w:tc>
          <w:tcPr>
            <w:tcW w:type="dxa" w:w="2196"/>
            <w:shd w:fill="1F4E78"/>
          </w:tcPr>
          <w:p>
            <w:r>
              <w:rPr>
                <w:b/>
                <w:sz w:val="19"/>
              </w:rPr>
              <w:t>Unit/format</w:t>
            </w:r>
          </w:p>
        </w:tc>
        <w:tc>
          <w:tcPr>
            <w:tcW w:type="dxa" w:w="2196"/>
            <w:shd w:fill="1F4E78"/>
          </w:tcPr>
          <w:p>
            <w:r>
              <w:rPr>
                <w:b/>
                <w:sz w:val="19"/>
              </w:rPr>
              <w:t>Role</w:t>
            </w:r>
          </w:p>
        </w:tc>
      </w:tr>
      <w:tr>
        <w:trPr>
          <w:cantSplit/>
        </w:trPr>
        <w:tc>
          <w:tcPr>
            <w:tcW w:type="dxa" w:w="2196"/>
          </w:tcPr>
          <w:p>
            <w:r>
              <w:rPr>
                <w:sz w:val="19"/>
              </w:rPr>
              <w:t>Tuổi (năm)</w:t>
            </w:r>
          </w:p>
        </w:tc>
        <w:tc>
          <w:tcPr>
            <w:tcW w:type="dxa" w:w="2196"/>
          </w:tcPr>
          <w:p>
            <w:r>
              <w:rPr>
                <w:sz w:val="19"/>
              </w:rPr>
              <w:t>age</w:t>
            </w:r>
          </w:p>
        </w:tc>
        <w:tc>
          <w:tcPr>
            <w:tcW w:type="dxa" w:w="2196"/>
          </w:tcPr>
          <w:p>
            <w:r>
              <w:rPr>
                <w:sz w:val="19"/>
              </w:rPr>
              <w:t>years</w:t>
            </w:r>
          </w:p>
        </w:tc>
        <w:tc>
          <w:tcPr>
            <w:tcW w:type="dxa" w:w="2196"/>
          </w:tcPr>
          <w:p>
            <w:r>
              <w:rPr>
                <w:sz w:val="19"/>
              </w:rPr>
              <w:t>Covariate</w:t>
            </w:r>
          </w:p>
        </w:tc>
      </w:tr>
      <w:tr>
        <w:trPr>
          <w:cantSplit/>
        </w:trPr>
        <w:tc>
          <w:tcPr>
            <w:tcW w:type="dxa" w:w="2196"/>
            <w:shd w:fill="EDF4FA"/>
          </w:tcPr>
          <w:p>
            <w:r>
              <w:rPr>
                <w:sz w:val="19"/>
              </w:rPr>
              <w:t>Giới tính</w:t>
            </w:r>
          </w:p>
        </w:tc>
        <w:tc>
          <w:tcPr>
            <w:tcW w:type="dxa" w:w="2196"/>
            <w:shd w:fill="EDF4FA"/>
          </w:tcPr>
          <w:p>
            <w:r>
              <w:rPr>
                <w:sz w:val="19"/>
              </w:rPr>
              <w:t>sex</w:t>
            </w:r>
          </w:p>
        </w:tc>
        <w:tc>
          <w:tcPr>
            <w:tcW w:type="dxa" w:w="2196"/>
            <w:shd w:fill="EDF4FA"/>
          </w:tcPr>
          <w:p>
            <w:r>
              <w:rPr>
                <w:sz w:val="19"/>
              </w:rPr>
              <w:t>categorical</w:t>
            </w:r>
          </w:p>
        </w:tc>
        <w:tc>
          <w:tcPr>
            <w:tcW w:type="dxa" w:w="2196"/>
            <w:shd w:fill="EDF4FA"/>
          </w:tcPr>
          <w:p>
            <w:r>
              <w:rPr>
                <w:sz w:val="19"/>
              </w:rPr>
              <w:t>Covariate</w:t>
            </w:r>
          </w:p>
        </w:tc>
      </w:tr>
      <w:tr>
        <w:trPr>
          <w:cantSplit/>
        </w:trPr>
        <w:tc>
          <w:tcPr>
            <w:tcW w:type="dxa" w:w="2196"/>
          </w:tcPr>
          <w:p>
            <w:r>
              <w:rPr>
                <w:sz w:val="19"/>
              </w:rPr>
              <w:t>Chiều cao (cm)</w:t>
            </w:r>
          </w:p>
        </w:tc>
        <w:tc>
          <w:tcPr>
            <w:tcW w:type="dxa" w:w="2196"/>
          </w:tcPr>
          <w:p>
            <w:r>
              <w:rPr>
                <w:sz w:val="19"/>
              </w:rPr>
              <w:t>height_cm</w:t>
            </w:r>
          </w:p>
        </w:tc>
        <w:tc>
          <w:tcPr>
            <w:tcW w:type="dxa" w:w="2196"/>
          </w:tcPr>
          <w:p>
            <w:r>
              <w:rPr>
                <w:sz w:val="19"/>
              </w:rPr>
              <w:t>cm</w:t>
            </w:r>
          </w:p>
        </w:tc>
        <w:tc>
          <w:tcPr>
            <w:tcW w:type="dxa" w:w="2196"/>
          </w:tcPr>
          <w:p>
            <w:r>
              <w:rPr>
                <w:sz w:val="19"/>
              </w:rPr>
              <w:t>Descriptive</w:t>
            </w:r>
          </w:p>
        </w:tc>
      </w:tr>
      <w:tr>
        <w:trPr>
          <w:cantSplit/>
        </w:trPr>
        <w:tc>
          <w:tcPr>
            <w:tcW w:type="dxa" w:w="2196"/>
            <w:shd w:fill="EDF4FA"/>
          </w:tcPr>
          <w:p>
            <w:r>
              <w:rPr>
                <w:sz w:val="19"/>
              </w:rPr>
              <w:t>Cân nặng (kg)</w:t>
            </w:r>
          </w:p>
        </w:tc>
        <w:tc>
          <w:tcPr>
            <w:tcW w:type="dxa" w:w="2196"/>
            <w:shd w:fill="EDF4FA"/>
          </w:tcPr>
          <w:p>
            <w:r>
              <w:rPr>
                <w:sz w:val="19"/>
              </w:rPr>
              <w:t>weight_kg</w:t>
            </w:r>
          </w:p>
        </w:tc>
        <w:tc>
          <w:tcPr>
            <w:tcW w:type="dxa" w:w="2196"/>
            <w:shd w:fill="EDF4FA"/>
          </w:tcPr>
          <w:p>
            <w:r>
              <w:rPr>
                <w:sz w:val="19"/>
              </w:rPr>
              <w:t>kg</w:t>
            </w:r>
          </w:p>
        </w:tc>
        <w:tc>
          <w:tcPr>
            <w:tcW w:type="dxa" w:w="2196"/>
            <w:shd w:fill="EDF4FA"/>
          </w:tcPr>
          <w:p>
            <w:r>
              <w:rPr>
                <w:sz w:val="19"/>
              </w:rPr>
              <w:t>Descriptive</w:t>
            </w:r>
          </w:p>
        </w:tc>
      </w:tr>
      <w:tr>
        <w:trPr>
          <w:cantSplit/>
        </w:trPr>
        <w:tc>
          <w:tcPr>
            <w:tcW w:type="dxa" w:w="2196"/>
          </w:tcPr>
          <w:p>
            <w:r>
              <w:rPr>
                <w:sz w:val="19"/>
              </w:rPr>
              <w:t>BMI (kg/m²)</w:t>
            </w:r>
          </w:p>
        </w:tc>
        <w:tc>
          <w:tcPr>
            <w:tcW w:type="dxa" w:w="2196"/>
          </w:tcPr>
          <w:p>
            <w:r>
              <w:rPr>
                <w:sz w:val="19"/>
              </w:rPr>
              <w:t>bmi</w:t>
            </w:r>
          </w:p>
        </w:tc>
        <w:tc>
          <w:tcPr>
            <w:tcW w:type="dxa" w:w="2196"/>
          </w:tcPr>
          <w:p>
            <w:r>
              <w:rPr>
                <w:sz w:val="19"/>
              </w:rPr>
              <w:t>kg/m²</w:t>
            </w:r>
          </w:p>
        </w:tc>
        <w:tc>
          <w:tcPr>
            <w:tcW w:type="dxa" w:w="2196"/>
          </w:tcPr>
          <w:p>
            <w:r>
              <w:rPr>
                <w:sz w:val="19"/>
              </w:rPr>
              <w:t>Main exposure</w:t>
            </w:r>
          </w:p>
        </w:tc>
      </w:tr>
      <w:tr>
        <w:trPr>
          <w:cantSplit/>
        </w:trPr>
        <w:tc>
          <w:tcPr>
            <w:tcW w:type="dxa" w:w="2196"/>
            <w:shd w:fill="EDF4FA"/>
          </w:tcPr>
          <w:p>
            <w:r>
              <w:rPr>
                <w:sz w:val="19"/>
              </w:rPr>
              <w:t>Mạch (lần/phút)</w:t>
            </w:r>
          </w:p>
        </w:tc>
        <w:tc>
          <w:tcPr>
            <w:tcW w:type="dxa" w:w="2196"/>
            <w:shd w:fill="EDF4FA"/>
          </w:tcPr>
          <w:p>
            <w:r>
              <w:rPr>
                <w:sz w:val="19"/>
              </w:rPr>
              <w:t>pulse</w:t>
            </w:r>
          </w:p>
        </w:tc>
        <w:tc>
          <w:tcPr>
            <w:tcW w:type="dxa" w:w="2196"/>
            <w:shd w:fill="EDF4FA"/>
          </w:tcPr>
          <w:p>
            <w:r>
              <w:rPr>
                <w:sz w:val="19"/>
              </w:rPr>
              <w:t>beats/min</w:t>
            </w:r>
          </w:p>
        </w:tc>
        <w:tc>
          <w:tcPr>
            <w:tcW w:type="dxa" w:w="2196"/>
            <w:shd w:fill="EDF4FA"/>
          </w:tcPr>
          <w:p>
            <w:r>
              <w:rPr>
                <w:sz w:val="19"/>
              </w:rPr>
              <w:t>Covariate</w:t>
            </w:r>
          </w:p>
        </w:tc>
      </w:tr>
      <w:tr>
        <w:trPr>
          <w:cantSplit/>
        </w:trPr>
        <w:tc>
          <w:tcPr>
            <w:tcW w:type="dxa" w:w="2196"/>
          </w:tcPr>
          <w:p>
            <w:r>
              <w:rPr>
                <w:sz w:val="19"/>
              </w:rPr>
              <w:t>Huyết áp tâm thu (mmHg)</w:t>
            </w:r>
          </w:p>
        </w:tc>
        <w:tc>
          <w:tcPr>
            <w:tcW w:type="dxa" w:w="2196"/>
          </w:tcPr>
          <w:p>
            <w:r>
              <w:rPr>
                <w:sz w:val="19"/>
              </w:rPr>
              <w:t>sbp</w:t>
            </w:r>
          </w:p>
        </w:tc>
        <w:tc>
          <w:tcPr>
            <w:tcW w:type="dxa" w:w="2196"/>
          </w:tcPr>
          <w:p>
            <w:r>
              <w:rPr>
                <w:sz w:val="19"/>
              </w:rPr>
              <w:t>mmHg</w:t>
            </w:r>
          </w:p>
        </w:tc>
        <w:tc>
          <w:tcPr>
            <w:tcW w:type="dxa" w:w="2196"/>
          </w:tcPr>
          <w:p>
            <w:r>
              <w:rPr>
                <w:sz w:val="19"/>
              </w:rPr>
              <w:t>Primary outcome</w:t>
            </w:r>
          </w:p>
        </w:tc>
      </w:tr>
      <w:tr>
        <w:trPr>
          <w:cantSplit/>
        </w:trPr>
        <w:tc>
          <w:tcPr>
            <w:tcW w:type="dxa" w:w="2196"/>
            <w:shd w:fill="EDF4FA"/>
          </w:tcPr>
          <w:p>
            <w:r>
              <w:rPr>
                <w:sz w:val="19"/>
              </w:rPr>
              <w:t>Huyết áp tâm trương (mmHg)</w:t>
            </w:r>
          </w:p>
        </w:tc>
        <w:tc>
          <w:tcPr>
            <w:tcW w:type="dxa" w:w="2196"/>
            <w:shd w:fill="EDF4FA"/>
          </w:tcPr>
          <w:p>
            <w:r>
              <w:rPr>
                <w:sz w:val="19"/>
              </w:rPr>
              <w:t>dbp</w:t>
            </w:r>
          </w:p>
        </w:tc>
        <w:tc>
          <w:tcPr>
            <w:tcW w:type="dxa" w:w="2196"/>
            <w:shd w:fill="EDF4FA"/>
          </w:tcPr>
          <w:p>
            <w:r>
              <w:rPr>
                <w:sz w:val="19"/>
              </w:rPr>
              <w:t>mmHg</w:t>
            </w:r>
          </w:p>
        </w:tc>
        <w:tc>
          <w:tcPr>
            <w:tcW w:type="dxa" w:w="2196"/>
            <w:shd w:fill="EDF4FA"/>
          </w:tcPr>
          <w:p>
            <w:r>
              <w:rPr>
                <w:sz w:val="19"/>
              </w:rPr>
              <w:t>Descriptive/screening input</w:t>
            </w:r>
          </w:p>
        </w:tc>
      </w:tr>
      <w:tr>
        <w:trPr>
          <w:cantSplit/>
        </w:trPr>
        <w:tc>
          <w:tcPr>
            <w:tcW w:type="dxa" w:w="2196"/>
          </w:tcPr>
          <w:p>
            <w:r>
              <w:rPr>
                <w:sz w:val="19"/>
              </w:rPr>
              <w:t>Cờ sàng lọc HA ≥140/90</w:t>
            </w:r>
          </w:p>
        </w:tc>
        <w:tc>
          <w:tcPr>
            <w:tcW w:type="dxa" w:w="2196"/>
          </w:tcPr>
          <w:p>
            <w:r>
              <w:rPr>
                <w:sz w:val="19"/>
              </w:rPr>
              <w:t>bp_screen</w:t>
            </w:r>
          </w:p>
        </w:tc>
        <w:tc>
          <w:tcPr>
            <w:tcW w:type="dxa" w:w="2196"/>
          </w:tcPr>
          <w:p>
            <w:r>
              <w:rPr>
                <w:sz w:val="19"/>
              </w:rPr>
              <w:t>0/1</w:t>
            </w:r>
          </w:p>
        </w:tc>
        <w:tc>
          <w:tcPr>
            <w:tcW w:type="dxa" w:w="2196"/>
          </w:tcPr>
          <w:p>
            <w:r>
              <w:rPr>
                <w:sz w:val="19"/>
              </w:rPr>
              <w:t>Secondary outcome</w:t>
            </w:r>
          </w:p>
        </w:tc>
      </w:tr>
      <w:tr>
        <w:trPr>
          <w:cantSplit/>
        </w:trPr>
        <w:tc>
          <w:tcPr>
            <w:tcW w:type="dxa" w:w="2196"/>
            <w:shd w:fill="EDF4FA"/>
          </w:tcPr>
          <w:p>
            <w:r>
              <w:rPr>
                <w:sz w:val="19"/>
              </w:rPr>
              <w:t>Cờ mã nguồn lặp</w:t>
            </w:r>
          </w:p>
        </w:tc>
        <w:tc>
          <w:tcPr>
            <w:tcW w:type="dxa" w:w="2196"/>
            <w:shd w:fill="EDF4FA"/>
          </w:tcPr>
          <w:p>
            <w:r>
              <w:rPr>
                <w:sz w:val="19"/>
              </w:rPr>
              <w:t>repeat_flag</w:t>
            </w:r>
          </w:p>
        </w:tc>
        <w:tc>
          <w:tcPr>
            <w:tcW w:type="dxa" w:w="2196"/>
            <w:shd w:fill="EDF4FA"/>
          </w:tcPr>
          <w:p>
            <w:r>
              <w:rPr>
                <w:sz w:val="19"/>
              </w:rPr>
              <w:t>0/1</w:t>
            </w:r>
          </w:p>
        </w:tc>
        <w:tc>
          <w:tcPr>
            <w:tcW w:type="dxa" w:w="2196"/>
            <w:shd w:fill="EDF4FA"/>
          </w:tcPr>
          <w:p>
            <w:r>
              <w:rPr>
                <w:sz w:val="19"/>
              </w:rPr>
              <w:t>Sensitivity flag</w:t>
            </w:r>
          </w:p>
        </w:tc>
      </w:tr>
    </w:tbl>
    <w:p>
      <w:pPr>
        <w:spacing w:before="0" w:after="60" w:line="300" w:lineRule="auto"/>
      </w:pPr>
      <w:r>
        <w:rPr>
          <w:b w:val="0"/>
          <w:i w:val="0"/>
        </w:rPr>
      </w:r>
    </w:p>
    <w:p>
      <w:pPr>
        <w:pStyle w:val="ResearchHeading2"/>
      </w:pPr>
      <w:r>
        <w:t>Appendix B. Additional figures</w:t>
      </w:r>
    </w:p>
    <w:p>
      <w:pPr>
        <w:jc w:val="center"/>
      </w:pPr>
      <w:r>
        <w:drawing>
          <wp:inline xmlns:a="http://schemas.openxmlformats.org/drawingml/2006/main" xmlns:pic="http://schemas.openxmlformats.org/drawingml/2006/picture">
            <wp:extent cx="4754880" cy="2828610"/>
            <wp:docPr id="12" name="Picture 12"/>
            <wp:cNvGraphicFramePr>
              <a:graphicFrameLocks noChangeAspect="1"/>
            </wp:cNvGraphicFramePr>
            <a:graphic>
              <a:graphicData uri="http://schemas.openxmlformats.org/drawingml/2006/picture">
                <pic:pic>
                  <pic:nvPicPr>
                    <pic:cNvPr id="0" name="07_bmi_by_sex.png"/>
                    <pic:cNvPicPr/>
                  </pic:nvPicPr>
                  <pic:blipFill>
                    <a:blip r:embed="rId30"/>
                    <a:stretch>
                      <a:fillRect/>
                    </a:stretch>
                  </pic:blipFill>
                  <pic:spPr>
                    <a:xfrm>
                      <a:off x="0" y="0"/>
                      <a:ext cx="4754880" cy="2828610"/>
                    </a:xfrm>
                    <a:prstGeom prst="rect"/>
                  </pic:spPr>
                </pic:pic>
              </a:graphicData>
            </a:graphic>
          </wp:inline>
        </w:drawing>
      </w:r>
    </w:p>
    <w:p>
      <w:pPr>
        <w:pStyle w:val="Caption"/>
        <w:spacing w:before="0" w:after="200" w:line="300" w:lineRule="auto"/>
        <w:jc w:val="center"/>
      </w:pPr>
      <w:r>
        <w:rPr>
          <w:b w:val="0"/>
          <w:i w:val="0"/>
        </w:rPr>
        <w:t>Figure B1. BMI distribution by sex.</w:t>
      </w:r>
    </w:p>
    <w:p>
      <w:pPr>
        <w:jc w:val="center"/>
      </w:pPr>
      <w:r>
        <w:drawing>
          <wp:inline xmlns:a="http://schemas.openxmlformats.org/drawingml/2006/main" xmlns:pic="http://schemas.openxmlformats.org/drawingml/2006/picture">
            <wp:extent cx="5303520" cy="2848712"/>
            <wp:docPr id="13" name="Picture 13"/>
            <wp:cNvGraphicFramePr>
              <a:graphicFrameLocks noChangeAspect="1"/>
            </wp:cNvGraphicFramePr>
            <a:graphic>
              <a:graphicData uri="http://schemas.openxmlformats.org/drawingml/2006/picture">
                <pic:pic>
                  <pic:nvPicPr>
                    <pic:cNvPr id="0" name="08_sbp_by_age_and_sex.png"/>
                    <pic:cNvPicPr/>
                  </pic:nvPicPr>
                  <pic:blipFill>
                    <a:blip r:embed="rId32"/>
                    <a:stretch>
                      <a:fillRect/>
                    </a:stretch>
                  </pic:blipFill>
                  <pic:spPr>
                    <a:xfrm>
                      <a:off x="0" y="0"/>
                      <a:ext cx="5303520" cy="2848712"/>
                    </a:xfrm>
                    <a:prstGeom prst="rect"/>
                  </pic:spPr>
                </pic:pic>
              </a:graphicData>
            </a:graphic>
          </wp:inline>
        </w:drawing>
      </w:r>
    </w:p>
    <w:p>
      <w:pPr>
        <w:pStyle w:val="Caption"/>
        <w:spacing w:before="0" w:after="200" w:line="300" w:lineRule="auto"/>
        <w:jc w:val="center"/>
      </w:pPr>
      <w:r>
        <w:rPr>
          <w:b w:val="0"/>
          <w:i w:val="0"/>
        </w:rPr>
        <w:t>Figure B2. Mean SBP by age group and sex.</w:t>
      </w:r>
    </w:p>
    <w:p>
      <w:pPr>
        <w:pStyle w:val="ResearchHeading2"/>
      </w:pPr>
      <w:r>
        <w:t>Appendix C. Additional statistical tables</w:t>
      </w:r>
    </w:p>
    <w:tbl>
      <w:tblPr>
        <w:tblStyle w:val="TableGrid"/>
        <w:tblW w:type="auto" w:w="0"/>
        <w:tblLayout w:type="autofit"/>
        <w:tblLook w:firstColumn="1" w:firstRow="1" w:lastColumn="0" w:lastRow="0" w:noHBand="0" w:noVBand="1" w:val="04A0"/>
      </w:tblPr>
      <w:tblGrid>
        <w:gridCol w:w="2196"/>
        <w:gridCol w:w="2196"/>
        <w:gridCol w:w="2196"/>
        <w:gridCol w:w="2196"/>
      </w:tblGrid>
      <w:tr>
        <w:trPr>
          <w:tblHeader w:val="true"/>
        </w:trPr>
        <w:tc>
          <w:tcPr>
            <w:tcW w:type="dxa" w:w="2196"/>
            <w:shd w:fill="1F4E78"/>
          </w:tcPr>
          <w:p>
            <w:r>
              <w:rPr>
                <w:b/>
                <w:sz w:val="17"/>
              </w:rPr>
              <w:t>So sánh</w:t>
            </w:r>
          </w:p>
        </w:tc>
        <w:tc>
          <w:tcPr>
            <w:tcW w:type="dxa" w:w="2196"/>
            <w:shd w:fill="1F4E78"/>
          </w:tcPr>
          <w:p>
            <w:r>
              <w:rPr>
                <w:b/>
                <w:sz w:val="17"/>
              </w:rPr>
              <w:t>Levene statistic</w:t>
            </w:r>
          </w:p>
        </w:tc>
        <w:tc>
          <w:tcPr>
            <w:tcW w:type="dxa" w:w="2196"/>
            <w:shd w:fill="1F4E78"/>
          </w:tcPr>
          <w:p>
            <w:r>
              <w:rPr>
                <w:b/>
                <w:sz w:val="17"/>
              </w:rPr>
              <w:t>p-value</w:t>
            </w:r>
          </w:p>
        </w:tc>
        <w:tc>
          <w:tcPr>
            <w:tcW w:type="dxa" w:w="2196"/>
            <w:shd w:fill="1F4E78"/>
          </w:tcPr>
          <w:p>
            <w:r>
              <w:rPr>
                <w:b/>
                <w:sz w:val="17"/>
              </w:rPr>
              <w:t>Diễn giải</w:t>
            </w:r>
          </w:p>
        </w:tc>
      </w:tr>
      <w:tr>
        <w:trPr>
          <w:cantSplit/>
        </w:trPr>
        <w:tc>
          <w:tcPr>
            <w:tcW w:type="dxa" w:w="2196"/>
          </w:tcPr>
          <w:p>
            <w:r>
              <w:rPr>
                <w:sz w:val="17"/>
              </w:rPr>
              <w:t>HATT theo nhóm BMI</w:t>
            </w:r>
          </w:p>
        </w:tc>
        <w:tc>
          <w:tcPr>
            <w:tcW w:type="dxa" w:w="2196"/>
          </w:tcPr>
          <w:p>
            <w:r>
              <w:rPr>
                <w:sz w:val="17"/>
              </w:rPr>
              <w:t>4.636367400995417</w:t>
            </w:r>
          </w:p>
        </w:tc>
        <w:tc>
          <w:tcPr>
            <w:tcW w:type="dxa" w:w="2196"/>
          </w:tcPr>
          <w:p>
            <w:r>
              <w:rPr>
                <w:sz w:val="17"/>
              </w:rPr>
              <w:t>0.0009745230453998</w:t>
            </w:r>
          </w:p>
        </w:tc>
        <w:tc>
          <w:tcPr>
            <w:tcW w:type="dxa" w:w="2196"/>
          </w:tcPr>
          <w:p>
            <w:r>
              <w:rPr>
                <w:sz w:val="17"/>
              </w:rPr>
              <w:t>Dùng Welch ANOVA và hậu kiểm Welch–Holm</w:t>
            </w:r>
          </w:p>
        </w:tc>
      </w:tr>
      <w:tr>
        <w:trPr>
          <w:cantSplit/>
        </w:trPr>
        <w:tc>
          <w:tcPr>
            <w:tcW w:type="dxa" w:w="2196"/>
            <w:shd w:fill="EDF4FA"/>
          </w:tcPr>
          <w:p>
            <w:r>
              <w:rPr>
                <w:sz w:val="17"/>
              </w:rPr>
              <w:t>HATT theo nhóm tuổi</w:t>
            </w:r>
          </w:p>
        </w:tc>
        <w:tc>
          <w:tcPr>
            <w:tcW w:type="dxa" w:w="2196"/>
            <w:shd w:fill="EDF4FA"/>
          </w:tcPr>
          <w:p>
            <w:r>
              <w:rPr>
                <w:sz w:val="17"/>
              </w:rPr>
              <w:t>62.36175160321107</w:t>
            </w:r>
          </w:p>
        </w:tc>
        <w:tc>
          <w:tcPr>
            <w:tcW w:type="dxa" w:w="2196"/>
            <w:shd w:fill="EDF4FA"/>
          </w:tcPr>
          <w:p>
            <w:r>
              <w:rPr>
                <w:sz w:val="17"/>
              </w:rPr>
              <w:t>8.562900294351756e-40</w:t>
            </w:r>
          </w:p>
        </w:tc>
        <w:tc>
          <w:tcPr>
            <w:tcW w:type="dxa" w:w="2196"/>
            <w:shd w:fill="EDF4FA"/>
          </w:tcPr>
          <w:p>
            <w:r>
              <w:rPr>
                <w:sz w:val="17"/>
              </w:rPr>
              <w:t>Dùng Welch ANOVA và hậu kiểm Welch–Holm</w:t>
            </w:r>
          </w:p>
        </w:tc>
      </w:tr>
      <w:tr>
        <w:trPr>
          <w:cantSplit/>
        </w:trPr>
        <w:tc>
          <w:tcPr>
            <w:tcW w:type="dxa" w:w="2196"/>
          </w:tcPr>
          <w:p>
            <w:r>
              <w:rPr>
                <w:sz w:val="17"/>
              </w:rPr>
              <w:t>BMI × cờ sàng lọc</w:t>
            </w:r>
          </w:p>
        </w:tc>
        <w:tc>
          <w:tcPr>
            <w:tcW w:type="dxa" w:w="2196"/>
          </w:tcPr>
          <w:p>
            <w:r>
              <w:rPr>
                <w:sz w:val="17"/>
              </w:rPr>
            </w:r>
          </w:p>
        </w:tc>
        <w:tc>
          <w:tcPr>
            <w:tcW w:type="dxa" w:w="2196"/>
          </w:tcPr>
          <w:p>
            <w:r>
              <w:rPr>
                <w:sz w:val="17"/>
              </w:rPr>
            </w:r>
          </w:p>
        </w:tc>
        <w:tc>
          <w:tcPr>
            <w:tcW w:type="dxa" w:w="2196"/>
          </w:tcPr>
          <w:p>
            <w:r>
              <w:rPr>
                <w:sz w:val="17"/>
              </w:rPr>
              <w:t>Ô kỳ vọng nhỏ nhất = 83.03; không có ô &lt;5</w:t>
            </w:r>
          </w:p>
        </w:tc>
      </w:tr>
    </w:tbl>
    <w:p>
      <w:pPr>
        <w:spacing w:before="0" w:after="60" w:line="300" w:lineRule="auto"/>
      </w:pPr>
      <w:r>
        <w:rPr>
          <w:b w:val="0"/>
          <w:i w:val="0"/>
        </w:rPr>
      </w:r>
    </w:p>
    <w:tbl>
      <w:tblPr>
        <w:tblStyle w:val="TableGrid"/>
        <w:tblW w:type="auto" w:w="0"/>
        <w:tblLayout w:type="autofit"/>
        <w:tblLook w:firstColumn="1" w:firstRow="1" w:lastColumn="0" w:lastRow="0" w:noHBand="0" w:noVBand="1" w:val="04A0"/>
      </w:tblPr>
      <w:tblGrid>
        <w:gridCol w:w="1255"/>
        <w:gridCol w:w="1255"/>
        <w:gridCol w:w="1255"/>
        <w:gridCol w:w="1255"/>
        <w:gridCol w:w="1255"/>
        <w:gridCol w:w="1255"/>
        <w:gridCol w:w="1255"/>
      </w:tblGrid>
      <w:tr>
        <w:trPr>
          <w:tblHeader w:val="true"/>
        </w:trPr>
        <w:tc>
          <w:tcPr>
            <w:tcW w:type="dxa" w:w="1255"/>
            <w:shd w:fill="1F4E78"/>
          </w:tcPr>
          <w:p>
            <w:r>
              <w:rPr>
                <w:b/>
                <w:sz w:val="15"/>
              </w:rPr>
              <w:t>So sánh</w:t>
            </w:r>
          </w:p>
        </w:tc>
        <w:tc>
          <w:tcPr>
            <w:tcW w:type="dxa" w:w="1255"/>
            <w:shd w:fill="1F4E78"/>
          </w:tcPr>
          <w:p>
            <w:r>
              <w:rPr>
                <w:b/>
                <w:sz w:val="15"/>
              </w:rPr>
              <w:t>Chênh lệch HATT</w:t>
            </w:r>
          </w:p>
        </w:tc>
        <w:tc>
          <w:tcPr>
            <w:tcW w:type="dxa" w:w="1255"/>
            <w:shd w:fill="1F4E78"/>
          </w:tcPr>
          <w:p>
            <w:r>
              <w:rPr>
                <w:b/>
                <w:sz w:val="15"/>
              </w:rPr>
              <w:t>CI 95% thấp</w:t>
            </w:r>
          </w:p>
        </w:tc>
        <w:tc>
          <w:tcPr>
            <w:tcW w:type="dxa" w:w="1255"/>
            <w:shd w:fill="1F4E78"/>
          </w:tcPr>
          <w:p>
            <w:r>
              <w:rPr>
                <w:b/>
                <w:sz w:val="15"/>
              </w:rPr>
              <w:t>CI 95% cao</w:t>
            </w:r>
          </w:p>
        </w:tc>
        <w:tc>
          <w:tcPr>
            <w:tcW w:type="dxa" w:w="1255"/>
            <w:shd w:fill="1F4E78"/>
          </w:tcPr>
          <w:p>
            <w:r>
              <w:rPr>
                <w:b/>
                <w:sz w:val="15"/>
              </w:rPr>
              <w:t>p Welch</w:t>
            </w:r>
          </w:p>
        </w:tc>
        <w:tc>
          <w:tcPr>
            <w:tcW w:type="dxa" w:w="1255"/>
            <w:shd w:fill="1F4E78"/>
          </w:tcPr>
          <w:p>
            <w:r>
              <w:rPr>
                <w:b/>
                <w:sz w:val="15"/>
              </w:rPr>
              <w:t>p Holm</w:t>
            </w:r>
          </w:p>
        </w:tc>
        <w:tc>
          <w:tcPr>
            <w:tcW w:type="dxa" w:w="1255"/>
            <w:shd w:fill="1F4E78"/>
          </w:tcPr>
          <w:p>
            <w:r>
              <w:rPr>
                <w:b/>
                <w:sz w:val="15"/>
              </w:rPr>
              <w:t>Kết luận α=0,05</w:t>
            </w:r>
          </w:p>
        </w:tc>
      </w:tr>
      <w:tr>
        <w:trPr>
          <w:cantSplit/>
        </w:trPr>
        <w:tc>
          <w:tcPr>
            <w:tcW w:type="dxa" w:w="1255"/>
          </w:tcPr>
          <w:p>
            <w:r>
              <w:rPr>
                <w:sz w:val="15"/>
              </w:rPr>
              <w:t>23-&lt;25 − 18.5-&lt;23</w:t>
            </w:r>
          </w:p>
        </w:tc>
        <w:tc>
          <w:tcPr>
            <w:tcW w:type="dxa" w:w="1255"/>
          </w:tcPr>
          <w:p>
            <w:r>
              <w:rPr>
                <w:sz w:val="15"/>
              </w:rPr>
              <w:t>5.5196</w:t>
            </w:r>
          </w:p>
        </w:tc>
        <w:tc>
          <w:tcPr>
            <w:tcW w:type="dxa" w:w="1255"/>
          </w:tcPr>
          <w:p>
            <w:r>
              <w:rPr>
                <w:sz w:val="15"/>
              </w:rPr>
              <w:t>4.5528</w:t>
            </w:r>
          </w:p>
        </w:tc>
        <w:tc>
          <w:tcPr>
            <w:tcW w:type="dxa" w:w="1255"/>
          </w:tcPr>
          <w:p>
            <w:r>
              <w:rPr>
                <w:sz w:val="15"/>
              </w:rPr>
              <w:t>6.4864</w:t>
            </w:r>
          </w:p>
        </w:tc>
        <w:tc>
          <w:tcPr>
            <w:tcW w:type="dxa" w:w="1255"/>
          </w:tcPr>
          <w:p>
            <w:r>
              <w:rPr>
                <w:sz w:val="15"/>
              </w:rPr>
              <w:t>0.0</w:t>
            </w:r>
          </w:p>
        </w:tc>
        <w:tc>
          <w:tcPr>
            <w:tcW w:type="dxa" w:w="1255"/>
          </w:tcPr>
          <w:p>
            <w:r>
              <w:rPr>
                <w:sz w:val="15"/>
              </w:rPr>
              <w:t>0.0</w:t>
            </w:r>
          </w:p>
        </w:tc>
        <w:tc>
          <w:tcPr>
            <w:tcW w:type="dxa" w:w="1255"/>
          </w:tcPr>
          <w:p>
            <w:r>
              <w:rPr>
                <w:sz w:val="15"/>
              </w:rPr>
              <w:t>Khác biệt có ý nghĩa</w:t>
            </w:r>
          </w:p>
        </w:tc>
      </w:tr>
      <w:tr>
        <w:trPr>
          <w:cantSplit/>
        </w:trPr>
        <w:tc>
          <w:tcPr>
            <w:tcW w:type="dxa" w:w="1255"/>
            <w:shd w:fill="EDF4FA"/>
          </w:tcPr>
          <w:p>
            <w:r>
              <w:rPr>
                <w:sz w:val="15"/>
              </w:rPr>
              <w:t>23-&lt;25 − 25-&lt;30</w:t>
            </w:r>
          </w:p>
        </w:tc>
        <w:tc>
          <w:tcPr>
            <w:tcW w:type="dxa" w:w="1255"/>
            <w:shd w:fill="EDF4FA"/>
          </w:tcPr>
          <w:p>
            <w:r>
              <w:rPr>
                <w:sz w:val="15"/>
              </w:rPr>
              <w:t>-3.3602</w:t>
            </w:r>
          </w:p>
        </w:tc>
        <w:tc>
          <w:tcPr>
            <w:tcW w:type="dxa" w:w="1255"/>
            <w:shd w:fill="EDF4FA"/>
          </w:tcPr>
          <w:p>
            <w:r>
              <w:rPr>
                <w:sz w:val="15"/>
              </w:rPr>
              <w:t>-4.4262</w:t>
            </w:r>
          </w:p>
        </w:tc>
        <w:tc>
          <w:tcPr>
            <w:tcW w:type="dxa" w:w="1255"/>
            <w:shd w:fill="EDF4FA"/>
          </w:tcPr>
          <w:p>
            <w:r>
              <w:rPr>
                <w:sz w:val="15"/>
              </w:rPr>
              <w:t>-2.2941</w:t>
            </w:r>
          </w:p>
        </w:tc>
        <w:tc>
          <w:tcPr>
            <w:tcW w:type="dxa" w:w="1255"/>
            <w:shd w:fill="EDF4FA"/>
          </w:tcPr>
          <w:p>
            <w:r>
              <w:rPr>
                <w:sz w:val="15"/>
              </w:rPr>
              <w:t>0.0</w:t>
            </w:r>
          </w:p>
        </w:tc>
        <w:tc>
          <w:tcPr>
            <w:tcW w:type="dxa" w:w="1255"/>
            <w:shd w:fill="EDF4FA"/>
          </w:tcPr>
          <w:p>
            <w:r>
              <w:rPr>
                <w:sz w:val="15"/>
              </w:rPr>
              <w:t>0.0</w:t>
            </w:r>
          </w:p>
        </w:tc>
        <w:tc>
          <w:tcPr>
            <w:tcW w:type="dxa" w:w="1255"/>
            <w:shd w:fill="EDF4FA"/>
          </w:tcPr>
          <w:p>
            <w:r>
              <w:rPr>
                <w:sz w:val="15"/>
              </w:rPr>
              <w:t>Khác biệt có ý nghĩa</w:t>
            </w:r>
          </w:p>
        </w:tc>
      </w:tr>
      <w:tr>
        <w:trPr>
          <w:cantSplit/>
        </w:trPr>
        <w:tc>
          <w:tcPr>
            <w:tcW w:type="dxa" w:w="1255"/>
          </w:tcPr>
          <w:p>
            <w:r>
              <w:rPr>
                <w:sz w:val="15"/>
              </w:rPr>
              <w:t>23-&lt;25 − &lt;18.5</w:t>
            </w:r>
          </w:p>
        </w:tc>
        <w:tc>
          <w:tcPr>
            <w:tcW w:type="dxa" w:w="1255"/>
          </w:tcPr>
          <w:p>
            <w:r>
              <w:rPr>
                <w:sz w:val="15"/>
              </w:rPr>
              <w:t>11.1204</w:t>
            </w:r>
          </w:p>
        </w:tc>
        <w:tc>
          <w:tcPr>
            <w:tcW w:type="dxa" w:w="1255"/>
          </w:tcPr>
          <w:p>
            <w:r>
              <w:rPr>
                <w:sz w:val="15"/>
              </w:rPr>
              <w:t>9.5378</w:t>
            </w:r>
          </w:p>
        </w:tc>
        <w:tc>
          <w:tcPr>
            <w:tcW w:type="dxa" w:w="1255"/>
          </w:tcPr>
          <w:p>
            <w:r>
              <w:rPr>
                <w:sz w:val="15"/>
              </w:rPr>
              <w:t>12.703</w:t>
            </w:r>
          </w:p>
        </w:tc>
        <w:tc>
          <w:tcPr>
            <w:tcW w:type="dxa" w:w="1255"/>
          </w:tcPr>
          <w:p>
            <w:r>
              <w:rPr>
                <w:sz w:val="15"/>
              </w:rPr>
              <w:t>0.0</w:t>
            </w:r>
          </w:p>
        </w:tc>
        <w:tc>
          <w:tcPr>
            <w:tcW w:type="dxa" w:w="1255"/>
          </w:tcPr>
          <w:p>
            <w:r>
              <w:rPr>
                <w:sz w:val="15"/>
              </w:rPr>
              <w:t>0.0</w:t>
            </w:r>
          </w:p>
        </w:tc>
        <w:tc>
          <w:tcPr>
            <w:tcW w:type="dxa" w:w="1255"/>
          </w:tcPr>
          <w:p>
            <w:r>
              <w:rPr>
                <w:sz w:val="15"/>
              </w:rPr>
              <w:t>Khác biệt có ý nghĩa</w:t>
            </w:r>
          </w:p>
        </w:tc>
      </w:tr>
      <w:tr>
        <w:trPr>
          <w:cantSplit/>
        </w:trPr>
        <w:tc>
          <w:tcPr>
            <w:tcW w:type="dxa" w:w="1255"/>
            <w:shd w:fill="EDF4FA"/>
          </w:tcPr>
          <w:p>
            <w:r>
              <w:rPr>
                <w:sz w:val="15"/>
              </w:rPr>
              <w:t>23-&lt;25 − &gt;=30</w:t>
            </w:r>
          </w:p>
        </w:tc>
        <w:tc>
          <w:tcPr>
            <w:tcW w:type="dxa" w:w="1255"/>
            <w:shd w:fill="EDF4FA"/>
          </w:tcPr>
          <w:p>
            <w:r>
              <w:rPr>
                <w:sz w:val="15"/>
              </w:rPr>
              <w:t>-5.9217</w:t>
            </w:r>
          </w:p>
        </w:tc>
        <w:tc>
          <w:tcPr>
            <w:tcW w:type="dxa" w:w="1255"/>
            <w:shd w:fill="EDF4FA"/>
          </w:tcPr>
          <w:p>
            <w:r>
              <w:rPr>
                <w:sz w:val="15"/>
              </w:rPr>
              <w:t>-7.6486</w:t>
            </w:r>
          </w:p>
        </w:tc>
        <w:tc>
          <w:tcPr>
            <w:tcW w:type="dxa" w:w="1255"/>
            <w:shd w:fill="EDF4FA"/>
          </w:tcPr>
          <w:p>
            <w:r>
              <w:rPr>
                <w:sz w:val="15"/>
              </w:rPr>
              <w:t>-4.1948</w:t>
            </w:r>
          </w:p>
        </w:tc>
        <w:tc>
          <w:tcPr>
            <w:tcW w:type="dxa" w:w="1255"/>
            <w:shd w:fill="EDF4FA"/>
          </w:tcPr>
          <w:p>
            <w:r>
              <w:rPr>
                <w:sz w:val="15"/>
              </w:rPr>
              <w:t>0.0</w:t>
            </w:r>
          </w:p>
        </w:tc>
        <w:tc>
          <w:tcPr>
            <w:tcW w:type="dxa" w:w="1255"/>
            <w:shd w:fill="EDF4FA"/>
          </w:tcPr>
          <w:p>
            <w:r>
              <w:rPr>
                <w:sz w:val="15"/>
              </w:rPr>
              <w:t>0.0</w:t>
            </w:r>
          </w:p>
        </w:tc>
        <w:tc>
          <w:tcPr>
            <w:tcW w:type="dxa" w:w="1255"/>
            <w:shd w:fill="EDF4FA"/>
          </w:tcPr>
          <w:p>
            <w:r>
              <w:rPr>
                <w:sz w:val="15"/>
              </w:rPr>
              <w:t>Khác biệt có ý nghĩa</w:t>
            </w:r>
          </w:p>
        </w:tc>
      </w:tr>
      <w:tr>
        <w:trPr>
          <w:cantSplit/>
        </w:trPr>
        <w:tc>
          <w:tcPr>
            <w:tcW w:type="dxa" w:w="1255"/>
          </w:tcPr>
          <w:p>
            <w:r>
              <w:rPr>
                <w:sz w:val="15"/>
              </w:rPr>
              <w:t>18.5-&lt;23 − 25-&lt;30</w:t>
            </w:r>
          </w:p>
        </w:tc>
        <w:tc>
          <w:tcPr>
            <w:tcW w:type="dxa" w:w="1255"/>
          </w:tcPr>
          <w:p>
            <w:r>
              <w:rPr>
                <w:sz w:val="15"/>
              </w:rPr>
              <w:t>-8.8798</w:t>
            </w:r>
          </w:p>
        </w:tc>
        <w:tc>
          <w:tcPr>
            <w:tcW w:type="dxa" w:w="1255"/>
          </w:tcPr>
          <w:p>
            <w:r>
              <w:rPr>
                <w:sz w:val="15"/>
              </w:rPr>
              <w:t>-9.7944</w:t>
            </w:r>
          </w:p>
        </w:tc>
        <w:tc>
          <w:tcPr>
            <w:tcW w:type="dxa" w:w="1255"/>
          </w:tcPr>
          <w:p>
            <w:r>
              <w:rPr>
                <w:sz w:val="15"/>
              </w:rPr>
              <w:t>-7.9651</w:t>
            </w:r>
          </w:p>
        </w:tc>
        <w:tc>
          <w:tcPr>
            <w:tcW w:type="dxa" w:w="1255"/>
          </w:tcPr>
          <w:p>
            <w:r>
              <w:rPr>
                <w:sz w:val="15"/>
              </w:rPr>
              <w:t>0.0</w:t>
            </w:r>
          </w:p>
        </w:tc>
        <w:tc>
          <w:tcPr>
            <w:tcW w:type="dxa" w:w="1255"/>
          </w:tcPr>
          <w:p>
            <w:r>
              <w:rPr>
                <w:sz w:val="15"/>
              </w:rPr>
              <w:t>0.0</w:t>
            </w:r>
          </w:p>
        </w:tc>
        <w:tc>
          <w:tcPr>
            <w:tcW w:type="dxa" w:w="1255"/>
          </w:tcPr>
          <w:p>
            <w:r>
              <w:rPr>
                <w:sz w:val="15"/>
              </w:rPr>
              <w:t>Khác biệt có ý nghĩa</w:t>
            </w:r>
          </w:p>
        </w:tc>
      </w:tr>
      <w:tr>
        <w:trPr>
          <w:cantSplit/>
        </w:trPr>
        <w:tc>
          <w:tcPr>
            <w:tcW w:type="dxa" w:w="1255"/>
            <w:shd w:fill="EDF4FA"/>
          </w:tcPr>
          <w:p>
            <w:r>
              <w:rPr>
                <w:sz w:val="15"/>
              </w:rPr>
              <w:t>18.5-&lt;23 − &lt;18.5</w:t>
            </w:r>
          </w:p>
        </w:tc>
        <w:tc>
          <w:tcPr>
            <w:tcW w:type="dxa" w:w="1255"/>
            <w:shd w:fill="EDF4FA"/>
          </w:tcPr>
          <w:p>
            <w:r>
              <w:rPr>
                <w:sz w:val="15"/>
              </w:rPr>
              <w:t>5.6008</w:t>
            </w:r>
          </w:p>
        </w:tc>
        <w:tc>
          <w:tcPr>
            <w:tcW w:type="dxa" w:w="1255"/>
            <w:shd w:fill="EDF4FA"/>
          </w:tcPr>
          <w:p>
            <w:r>
              <w:rPr>
                <w:sz w:val="15"/>
              </w:rPr>
              <w:t>4.1155</w:t>
            </w:r>
          </w:p>
        </w:tc>
        <w:tc>
          <w:tcPr>
            <w:tcW w:type="dxa" w:w="1255"/>
            <w:shd w:fill="EDF4FA"/>
          </w:tcPr>
          <w:p>
            <w:r>
              <w:rPr>
                <w:sz w:val="15"/>
              </w:rPr>
              <w:t>7.086</w:t>
            </w:r>
          </w:p>
        </w:tc>
        <w:tc>
          <w:tcPr>
            <w:tcW w:type="dxa" w:w="1255"/>
            <w:shd w:fill="EDF4FA"/>
          </w:tcPr>
          <w:p>
            <w:r>
              <w:rPr>
                <w:sz w:val="15"/>
              </w:rPr>
              <w:t>0.0</w:t>
            </w:r>
          </w:p>
        </w:tc>
        <w:tc>
          <w:tcPr>
            <w:tcW w:type="dxa" w:w="1255"/>
            <w:shd w:fill="EDF4FA"/>
          </w:tcPr>
          <w:p>
            <w:r>
              <w:rPr>
                <w:sz w:val="15"/>
              </w:rPr>
              <w:t>0.0</w:t>
            </w:r>
          </w:p>
        </w:tc>
        <w:tc>
          <w:tcPr>
            <w:tcW w:type="dxa" w:w="1255"/>
            <w:shd w:fill="EDF4FA"/>
          </w:tcPr>
          <w:p>
            <w:r>
              <w:rPr>
                <w:sz w:val="15"/>
              </w:rPr>
              <w:t>Khác biệt có ý nghĩa</w:t>
            </w:r>
          </w:p>
        </w:tc>
      </w:tr>
      <w:tr>
        <w:trPr>
          <w:cantSplit/>
        </w:trPr>
        <w:tc>
          <w:tcPr>
            <w:tcW w:type="dxa" w:w="1255"/>
          </w:tcPr>
          <w:p>
            <w:r>
              <w:rPr>
                <w:sz w:val="15"/>
              </w:rPr>
              <w:t>18.5-&lt;23 − &gt;=30</w:t>
            </w:r>
          </w:p>
        </w:tc>
        <w:tc>
          <w:tcPr>
            <w:tcW w:type="dxa" w:w="1255"/>
          </w:tcPr>
          <w:p>
            <w:r>
              <w:rPr>
                <w:sz w:val="15"/>
              </w:rPr>
              <w:t>-11.4413</w:t>
            </w:r>
          </w:p>
        </w:tc>
        <w:tc>
          <w:tcPr>
            <w:tcW w:type="dxa" w:w="1255"/>
          </w:tcPr>
          <w:p>
            <w:r>
              <w:rPr>
                <w:sz w:val="15"/>
              </w:rPr>
              <w:t>-13.0794</w:t>
            </w:r>
          </w:p>
        </w:tc>
        <w:tc>
          <w:tcPr>
            <w:tcW w:type="dxa" w:w="1255"/>
          </w:tcPr>
          <w:p>
            <w:r>
              <w:rPr>
                <w:sz w:val="15"/>
              </w:rPr>
              <w:t>-9.8032</w:t>
            </w:r>
          </w:p>
        </w:tc>
        <w:tc>
          <w:tcPr>
            <w:tcW w:type="dxa" w:w="1255"/>
          </w:tcPr>
          <w:p>
            <w:r>
              <w:rPr>
                <w:sz w:val="15"/>
              </w:rPr>
              <w:t>0.0</w:t>
            </w:r>
          </w:p>
        </w:tc>
        <w:tc>
          <w:tcPr>
            <w:tcW w:type="dxa" w:w="1255"/>
          </w:tcPr>
          <w:p>
            <w:r>
              <w:rPr>
                <w:sz w:val="15"/>
              </w:rPr>
              <w:t>0.0</w:t>
            </w:r>
          </w:p>
        </w:tc>
        <w:tc>
          <w:tcPr>
            <w:tcW w:type="dxa" w:w="1255"/>
          </w:tcPr>
          <w:p>
            <w:r>
              <w:rPr>
                <w:sz w:val="15"/>
              </w:rPr>
              <w:t>Khác biệt có ý nghĩa</w:t>
            </w:r>
          </w:p>
        </w:tc>
      </w:tr>
      <w:tr>
        <w:trPr>
          <w:cantSplit/>
        </w:trPr>
        <w:tc>
          <w:tcPr>
            <w:tcW w:type="dxa" w:w="1255"/>
            <w:shd w:fill="EDF4FA"/>
          </w:tcPr>
          <w:p>
            <w:r>
              <w:rPr>
                <w:sz w:val="15"/>
              </w:rPr>
              <w:t>25-&lt;30 − &lt;18.5</w:t>
            </w:r>
          </w:p>
        </w:tc>
        <w:tc>
          <w:tcPr>
            <w:tcW w:type="dxa" w:w="1255"/>
            <w:shd w:fill="EDF4FA"/>
          </w:tcPr>
          <w:p>
            <w:r>
              <w:rPr>
                <w:sz w:val="15"/>
              </w:rPr>
              <w:t>14.4805</w:t>
            </w:r>
          </w:p>
        </w:tc>
        <w:tc>
          <w:tcPr>
            <w:tcW w:type="dxa" w:w="1255"/>
            <w:shd w:fill="EDF4FA"/>
          </w:tcPr>
          <w:p>
            <w:r>
              <w:rPr>
                <w:sz w:val="15"/>
              </w:rPr>
              <w:t>12.9291</w:t>
            </w:r>
          </w:p>
        </w:tc>
        <w:tc>
          <w:tcPr>
            <w:tcW w:type="dxa" w:w="1255"/>
            <w:shd w:fill="EDF4FA"/>
          </w:tcPr>
          <w:p>
            <w:r>
              <w:rPr>
                <w:sz w:val="15"/>
              </w:rPr>
              <w:t>16.032</w:t>
            </w:r>
          </w:p>
        </w:tc>
        <w:tc>
          <w:tcPr>
            <w:tcW w:type="dxa" w:w="1255"/>
            <w:shd w:fill="EDF4FA"/>
          </w:tcPr>
          <w:p>
            <w:r>
              <w:rPr>
                <w:sz w:val="15"/>
              </w:rPr>
              <w:t>0.0</w:t>
            </w:r>
          </w:p>
        </w:tc>
        <w:tc>
          <w:tcPr>
            <w:tcW w:type="dxa" w:w="1255"/>
            <w:shd w:fill="EDF4FA"/>
          </w:tcPr>
          <w:p>
            <w:r>
              <w:rPr>
                <w:sz w:val="15"/>
              </w:rPr>
              <w:t>0.0</w:t>
            </w:r>
          </w:p>
        </w:tc>
        <w:tc>
          <w:tcPr>
            <w:tcW w:type="dxa" w:w="1255"/>
            <w:shd w:fill="EDF4FA"/>
          </w:tcPr>
          <w:p>
            <w:r>
              <w:rPr>
                <w:sz w:val="15"/>
              </w:rPr>
              <w:t>Khác biệt có ý nghĩa</w:t>
            </w:r>
          </w:p>
        </w:tc>
      </w:tr>
      <w:tr>
        <w:trPr>
          <w:cantSplit/>
        </w:trPr>
        <w:tc>
          <w:tcPr>
            <w:tcW w:type="dxa" w:w="1255"/>
          </w:tcPr>
          <w:p>
            <w:r>
              <w:rPr>
                <w:sz w:val="15"/>
              </w:rPr>
              <w:t>25-&lt;30 − &gt;=30</w:t>
            </w:r>
          </w:p>
        </w:tc>
        <w:tc>
          <w:tcPr>
            <w:tcW w:type="dxa" w:w="1255"/>
          </w:tcPr>
          <w:p>
            <w:r>
              <w:rPr>
                <w:sz w:val="15"/>
              </w:rPr>
              <w:t>-2.5615</w:t>
            </w:r>
          </w:p>
        </w:tc>
        <w:tc>
          <w:tcPr>
            <w:tcW w:type="dxa" w:w="1255"/>
          </w:tcPr>
          <w:p>
            <w:r>
              <w:rPr>
                <w:sz w:val="15"/>
              </w:rPr>
              <w:t>-4.2599</w:t>
            </w:r>
          </w:p>
        </w:tc>
        <w:tc>
          <w:tcPr>
            <w:tcW w:type="dxa" w:w="1255"/>
          </w:tcPr>
          <w:p>
            <w:r>
              <w:rPr>
                <w:sz w:val="15"/>
              </w:rPr>
              <w:t>-0.8632</w:t>
            </w:r>
          </w:p>
        </w:tc>
        <w:tc>
          <w:tcPr>
            <w:tcW w:type="dxa" w:w="1255"/>
          </w:tcPr>
          <w:p>
            <w:r>
              <w:rPr>
                <w:sz w:val="15"/>
              </w:rPr>
              <w:t>0.0032</w:t>
            </w:r>
          </w:p>
        </w:tc>
        <w:tc>
          <w:tcPr>
            <w:tcW w:type="dxa" w:w="1255"/>
          </w:tcPr>
          <w:p>
            <w:r>
              <w:rPr>
                <w:sz w:val="15"/>
              </w:rPr>
              <w:t>0.0032</w:t>
            </w:r>
          </w:p>
        </w:tc>
        <w:tc>
          <w:tcPr>
            <w:tcW w:type="dxa" w:w="1255"/>
          </w:tcPr>
          <w:p>
            <w:r>
              <w:rPr>
                <w:sz w:val="15"/>
              </w:rPr>
              <w:t>Khác biệt có ý nghĩa</w:t>
            </w:r>
          </w:p>
        </w:tc>
      </w:tr>
      <w:tr>
        <w:trPr>
          <w:cantSplit/>
        </w:trPr>
        <w:tc>
          <w:tcPr>
            <w:tcW w:type="dxa" w:w="1255"/>
            <w:shd w:fill="EDF4FA"/>
          </w:tcPr>
          <w:p>
            <w:r>
              <w:rPr>
                <w:sz w:val="15"/>
              </w:rPr>
              <w:t>&lt;18.5 − &gt;=30</w:t>
            </w:r>
          </w:p>
        </w:tc>
        <w:tc>
          <w:tcPr>
            <w:tcW w:type="dxa" w:w="1255"/>
            <w:shd w:fill="EDF4FA"/>
          </w:tcPr>
          <w:p>
            <w:r>
              <w:rPr>
                <w:sz w:val="15"/>
              </w:rPr>
              <w:t>-17.0421</w:t>
            </w:r>
          </w:p>
        </w:tc>
        <w:tc>
          <w:tcPr>
            <w:tcW w:type="dxa" w:w="1255"/>
            <w:shd w:fill="EDF4FA"/>
          </w:tcPr>
          <w:p>
            <w:r>
              <w:rPr>
                <w:sz w:val="15"/>
              </w:rPr>
              <w:t>-19.1028</w:t>
            </w:r>
          </w:p>
        </w:tc>
        <w:tc>
          <w:tcPr>
            <w:tcW w:type="dxa" w:w="1255"/>
            <w:shd w:fill="EDF4FA"/>
          </w:tcPr>
          <w:p>
            <w:r>
              <w:rPr>
                <w:sz w:val="15"/>
              </w:rPr>
              <w:t>-14.9814</w:t>
            </w:r>
          </w:p>
        </w:tc>
        <w:tc>
          <w:tcPr>
            <w:tcW w:type="dxa" w:w="1255"/>
            <w:shd w:fill="EDF4FA"/>
          </w:tcPr>
          <w:p>
            <w:r>
              <w:rPr>
                <w:sz w:val="15"/>
              </w:rPr>
              <w:t>0.0</w:t>
            </w:r>
          </w:p>
        </w:tc>
        <w:tc>
          <w:tcPr>
            <w:tcW w:type="dxa" w:w="1255"/>
            <w:shd w:fill="EDF4FA"/>
          </w:tcPr>
          <w:p>
            <w:r>
              <w:rPr>
                <w:sz w:val="15"/>
              </w:rPr>
              <w:t>0.0</w:t>
            </w:r>
          </w:p>
        </w:tc>
        <w:tc>
          <w:tcPr>
            <w:tcW w:type="dxa" w:w="1255"/>
            <w:shd w:fill="EDF4FA"/>
          </w:tcPr>
          <w:p>
            <w:r>
              <w:rPr>
                <w:sz w:val="15"/>
              </w:rPr>
              <w:t>Khác biệt có ý nghĩa</w:t>
            </w:r>
          </w:p>
        </w:tc>
      </w:tr>
    </w:tbl>
    <w:p>
      <w:pPr>
        <w:spacing w:before="0" w:after="60" w:line="300" w:lineRule="auto"/>
      </w:pPr>
      <w:r>
        <w:rPr>
          <w:b w:val="0"/>
          <w:i w:val="0"/>
        </w:rPr>
      </w:r>
    </w:p>
    <w:sectPr w:rsidR="00E946FB" w:rsidSect="00602D02">
      <w:pgSz w:w="11909" w:h="16834" w:code="9"/>
      <w:pgMar w:top="1987" w:right="1138" w:bottom="1699" w:left="1987" w:header="720" w:footer="720" w:gutter="0"/>
      <w:pgNumType w:start="1"/>
      <w:cols w:space="720"/>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2F3511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88AFEC" w16cex:dateUtc="2023-08-17T07: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2F35110" w16cid:durableId="2888AFEC"/>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E338E63" w14:textId="77777777" w:rsidR="00EE7D1C" w:rsidRDefault="00EE7D1C" w:rsidP="00453AB1">
      <w:r>
        <w:separator/>
      </w:r>
    </w:p>
  </w:endnote>
  <w:endnote w:type="continuationSeparator" w:id="0">
    <w:p w14:paraId="32CAC377" w14:textId="77777777" w:rsidR="00EE7D1C" w:rsidRDefault="00EE7D1C" w:rsidP="00453AB1">
      <w:r>
        <w:continuationSeparator/>
      </w:r>
    </w:p>
  </w:endnote>
  <w:endnote w:type="continuationNotice" w:id="1">
    <w:p w14:paraId="120BC137" w14:textId="77777777" w:rsidR="00EE7D1C" w:rsidRDefault="00EE7D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1"/>
    <w:family w:val="roman"/>
    <w:pitch w:val="variable"/>
  </w:font>
  <w:font w:name="Times-Roman">
    <w:altName w:val="Times New Roman"/>
    <w:charset w:val="01"/>
    <w:family w:val="roman"/>
    <w:pitch w:val="variable"/>
  </w:font>
  <w:font w:name="RMTMI">
    <w:altName w:val="Times New Roman"/>
    <w:charset w:val="01"/>
    <w:family w:val="roman"/>
    <w:pitch w:val="variable"/>
  </w:font>
  <w:font w:name="MTSYN">
    <w:altName w:val="Times New Roman"/>
    <w:charset w:val="01"/>
    <w:family w:val="roman"/>
    <w:pitch w:val="variable"/>
  </w:font>
  <w:font w:name="MS Mincho">
    <w:altName w:val="MS Gothic"/>
    <w:panose1 w:val="02020609040205080304"/>
    <w:charset w:val="80"/>
    <w:family w:val="roman"/>
    <w:notTrueType/>
    <w:pitch w:val="fixed"/>
    <w:sig w:usb0="00000000"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B2C02FE" w14:textId="77777777" w:rsidR="00EE7D1C" w:rsidRDefault="00EE7D1C" w:rsidP="00453AB1">
      <w:r>
        <w:separator/>
      </w:r>
    </w:p>
  </w:footnote>
  <w:footnote w:type="continuationSeparator" w:id="0">
    <w:p w14:paraId="4269B830" w14:textId="77777777" w:rsidR="00EE7D1C" w:rsidRDefault="00EE7D1C" w:rsidP="00453AB1">
      <w:r>
        <w:continuationSeparator/>
      </w:r>
    </w:p>
  </w:footnote>
  <w:footnote w:type="continuationNotice" w:id="1">
    <w:p w14:paraId="648D4FF4" w14:textId="77777777" w:rsidR="00EE7D1C" w:rsidRDefault="00EE7D1C"/>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E0D471" w14:textId="77777777" w:rsidR="00F772AD" w:rsidRPr="00453AB1" w:rsidRDefault="00F772AD">
    <w:pPr>
      <w:pStyle w:val="Header"/>
      <w:jc w:val="center"/>
      <w:rPr>
        <w:rStyle w:val="NidungvnbnChar"/>
      </w:rPr>
    </w:pPr>
  </w:p>
  <w:p w14:paraId="4442DF9F" w14:textId="77777777" w:rsidR="00F772AD" w:rsidRDefault="00F772AD" w:rsidP="0064189C">
    <w:pPr>
      <w:pStyle w:val="Nidungvnbn"/>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87547156"/>
      <w:docPartObj>
        <w:docPartGallery w:val="Page Numbers (Top of Page)"/>
        <w:docPartUnique/>
      </w:docPartObj>
    </w:sdtPr>
    <w:sdtEndPr>
      <w:rPr>
        <w:noProof/>
      </w:rPr>
    </w:sdtEndPr>
    <w:sdtContent>
      <w:p w14:paraId="426B288E" w14:textId="77777777" w:rsidR="00F772AD" w:rsidRDefault="00F772AD">
        <w:pPr>
          <w:pStyle w:val="Header"/>
          <w:jc w:val="center"/>
        </w:pPr>
        <w:r>
          <w:fldChar w:fldCharType="begin"/>
        </w:r>
        <w:r>
          <w:instrText xml:space="preserve"> PAGE   \* MERGEFORMAT </w:instrText>
        </w:r>
        <w:r>
          <w:fldChar w:fldCharType="separate"/>
        </w:r>
        <w:r w:rsidR="00885F07">
          <w:rPr>
            <w:noProof/>
          </w:rPr>
          <w:t>i</w:t>
        </w:r>
        <w:r>
          <w:rPr>
            <w:noProof/>
          </w:rPr>
          <w:fldChar w:fldCharType="end"/>
        </w:r>
      </w:p>
    </w:sdtContent>
  </w:sdt>
  <w:p w14:paraId="23FFAEBF" w14:textId="77777777" w:rsidR="00F772AD" w:rsidRDefault="00F772AD" w:rsidP="0064189C">
    <w:pPr>
      <w:pStyle w:val="Nidungvnbn"/>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26468923"/>
      <w:docPartObj>
        <w:docPartGallery w:val="Page Numbers (Top of Page)"/>
        <w:docPartUnique/>
      </w:docPartObj>
    </w:sdtPr>
    <w:sdtEndPr>
      <w:rPr>
        <w:rStyle w:val="NidungvnbnChar"/>
        <w:sz w:val="26"/>
        <w:szCs w:val="26"/>
      </w:rPr>
    </w:sdtEndPr>
    <w:sdtContent>
      <w:p w14:paraId="78806AB1"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sidR="00FD0421">
          <w:rPr>
            <w:rStyle w:val="NidungvnbnChar"/>
            <w:noProof/>
          </w:rPr>
          <w:t>7</w:t>
        </w:r>
        <w:r w:rsidRPr="00453AB1">
          <w:rPr>
            <w:rStyle w:val="NidungvnbnChar"/>
          </w:rPr>
          <w:fldChar w:fldCharType="end"/>
        </w:r>
      </w:p>
    </w:sdtContent>
  </w:sdt>
  <w:p w14:paraId="7189F11F" w14:textId="77777777" w:rsidR="00F772AD" w:rsidRDefault="00F772AD" w:rsidP="0064189C">
    <w:pPr>
      <w:pStyle w:val="Nidungvnbn"/>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711D34"/>
    <w:multiLevelType w:val="hybridMultilevel"/>
    <w:tmpl w:val="27DED1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09897A05"/>
    <w:multiLevelType w:val="hybridMultilevel"/>
    <w:tmpl w:val="C1382A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121724AE"/>
    <w:multiLevelType w:val="multilevel"/>
    <w:tmpl w:val="08224686"/>
    <w:lvl w:ilvl="0">
      <w:start w:val="1"/>
      <w:numFmt w:val="decimal"/>
      <w:pStyle w:val="Heading1"/>
      <w:suff w:val="space"/>
      <w:lvlText w:val="CHAPTER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6">
    <w:nsid w:val="18953BF0"/>
    <w:multiLevelType w:val="hybridMultilevel"/>
    <w:tmpl w:val="DDF21940"/>
    <w:lvl w:ilvl="0" w:tplc="6BF06BB0">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70D578C"/>
    <w:multiLevelType w:val="hybridMultilevel"/>
    <w:tmpl w:val="E250A9B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BF80DD0"/>
    <w:multiLevelType w:val="hybridMultilevel"/>
    <w:tmpl w:val="286280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2D1A6F31"/>
    <w:multiLevelType w:val="hybridMultilevel"/>
    <w:tmpl w:val="D4C07F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3644AC9"/>
    <w:multiLevelType w:val="hybridMultilevel"/>
    <w:tmpl w:val="734820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33CD6A5D"/>
    <w:multiLevelType w:val="hybridMultilevel"/>
    <w:tmpl w:val="975081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nsid w:val="34A56744"/>
    <w:multiLevelType w:val="hybridMultilevel"/>
    <w:tmpl w:val="C9C63F00"/>
    <w:lvl w:ilvl="0" w:tplc="6262DF18">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35D32886"/>
    <w:multiLevelType w:val="multilevel"/>
    <w:tmpl w:val="784EC998"/>
    <w:lvl w:ilvl="0">
      <w:start w:val="1"/>
      <w:numFmt w:val="decimal"/>
      <w:lvlText w:val="CHƯƠNG %1. "/>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5">
    <w:nsid w:val="389731B8"/>
    <w:multiLevelType w:val="hybridMultilevel"/>
    <w:tmpl w:val="14BA7FB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8B94F43"/>
    <w:multiLevelType w:val="hybridMultilevel"/>
    <w:tmpl w:val="121AEA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9967250"/>
    <w:multiLevelType w:val="hybridMultilevel"/>
    <w:tmpl w:val="A5A89862"/>
    <w:lvl w:ilvl="0" w:tplc="75E4357E">
      <w:start w:val="1"/>
      <w:numFmt w:val="upperLetter"/>
      <w:lvlText w:val="%1-"/>
      <w:lvlJc w:val="left"/>
      <w:pPr>
        <w:ind w:left="720" w:hanging="360"/>
      </w:pPr>
      <w:rPr>
        <w:rFonts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FF845B8"/>
    <w:multiLevelType w:val="hybridMultilevel"/>
    <w:tmpl w:val="CE34609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6434B38"/>
    <w:multiLevelType w:val="hybridMultilevel"/>
    <w:tmpl w:val="F23201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48426039"/>
    <w:multiLevelType w:val="hybridMultilevel"/>
    <w:tmpl w:val="8D74178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8C60F03"/>
    <w:multiLevelType w:val="hybridMultilevel"/>
    <w:tmpl w:val="A01E49E4"/>
    <w:lvl w:ilvl="0" w:tplc="42B6BFE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49603A6F"/>
    <w:multiLevelType w:val="hybridMultilevel"/>
    <w:tmpl w:val="F30E2B9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5260065F"/>
    <w:multiLevelType w:val="hybridMultilevel"/>
    <w:tmpl w:val="27BE06D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4516F73"/>
    <w:multiLevelType w:val="hybridMultilevel"/>
    <w:tmpl w:val="89D42962"/>
    <w:lvl w:ilvl="0" w:tplc="8F6240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545D3C6E"/>
    <w:multiLevelType w:val="hybridMultilevel"/>
    <w:tmpl w:val="157699CC"/>
    <w:lvl w:ilvl="0" w:tplc="14A0B77A">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55B95506"/>
    <w:multiLevelType w:val="hybridMultilevel"/>
    <w:tmpl w:val="3CE8FEB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70E7EE7"/>
    <w:multiLevelType w:val="hybridMultilevel"/>
    <w:tmpl w:val="72EC4B5A"/>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8C30301"/>
    <w:multiLevelType w:val="hybridMultilevel"/>
    <w:tmpl w:val="BA7CAFD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9457DDD"/>
    <w:multiLevelType w:val="hybridMultilevel"/>
    <w:tmpl w:val="BE60F9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6DF2304C"/>
    <w:multiLevelType w:val="hybridMultilevel"/>
    <w:tmpl w:val="337C7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0262649"/>
    <w:multiLevelType w:val="hybridMultilevel"/>
    <w:tmpl w:val="DA3CDE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nsid w:val="71517BD5"/>
    <w:multiLevelType w:val="hybridMultilevel"/>
    <w:tmpl w:val="C83C5F34"/>
    <w:lvl w:ilvl="0" w:tplc="1166CCA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nsid w:val="79516963"/>
    <w:multiLevelType w:val="hybridMultilevel"/>
    <w:tmpl w:val="A192D7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nsid w:val="7A182BC3"/>
    <w:multiLevelType w:val="multilevel"/>
    <w:tmpl w:val="3476E0F4"/>
    <w:lvl w:ilvl="0">
      <w:start w:val="1"/>
      <w:numFmt w:val="decimal"/>
      <w:lvlText w:val="%1"/>
      <w:lvlJc w:val="left"/>
      <w:pPr>
        <w:ind w:left="720" w:hanging="720"/>
      </w:pPr>
      <w:rPr>
        <w:rFonts w:eastAsia="Times New Roman" w:hint="default"/>
      </w:rPr>
    </w:lvl>
    <w:lvl w:ilvl="1">
      <w:start w:val="1"/>
      <w:numFmt w:val="decimal"/>
      <w:lvlText w:val="%1.%2"/>
      <w:lvlJc w:val="left"/>
      <w:pPr>
        <w:ind w:left="720" w:hanging="72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2160" w:hanging="2160"/>
      </w:pPr>
      <w:rPr>
        <w:rFonts w:eastAsia="Times New Roman" w:hint="default"/>
      </w:rPr>
    </w:lvl>
  </w:abstractNum>
  <w:abstractNum w:abstractNumId="41">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BB64951"/>
    <w:multiLevelType w:val="hybridMultilevel"/>
    <w:tmpl w:val="F1C25DA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nsid w:val="7EE317B7"/>
    <w:multiLevelType w:val="multilevel"/>
    <w:tmpl w:val="EBF0FD4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2"/>
  </w:num>
  <w:num w:numId="2">
    <w:abstractNumId w:val="24"/>
  </w:num>
  <w:num w:numId="3">
    <w:abstractNumId w:val="33"/>
  </w:num>
  <w:num w:numId="4">
    <w:abstractNumId w:val="41"/>
  </w:num>
  <w:num w:numId="5">
    <w:abstractNumId w:val="0"/>
  </w:num>
  <w:num w:numId="6">
    <w:abstractNumId w:val="7"/>
  </w:num>
  <w:num w:numId="7">
    <w:abstractNumId w:val="31"/>
  </w:num>
  <w:num w:numId="8">
    <w:abstractNumId w:val="37"/>
  </w:num>
  <w:num w:numId="9">
    <w:abstractNumId w:val="3"/>
  </w:num>
  <w:num w:numId="10">
    <w:abstractNumId w:val="18"/>
  </w:num>
  <w:num w:numId="11">
    <w:abstractNumId w:val="39"/>
  </w:num>
  <w:num w:numId="12">
    <w:abstractNumId w:val="43"/>
  </w:num>
  <w:num w:numId="13">
    <w:abstractNumId w:val="13"/>
  </w:num>
  <w:num w:numId="14">
    <w:abstractNumId w:val="27"/>
  </w:num>
  <w:num w:numId="15">
    <w:abstractNumId w:val="26"/>
  </w:num>
  <w:num w:numId="16">
    <w:abstractNumId w:val="17"/>
  </w:num>
  <w:num w:numId="17">
    <w:abstractNumId w:val="34"/>
  </w:num>
  <w:num w:numId="18">
    <w:abstractNumId w:val="40"/>
  </w:num>
  <w:num w:numId="19">
    <w:abstractNumId w:val="5"/>
  </w:num>
  <w:num w:numId="2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5"/>
  </w:num>
  <w:num w:numId="23">
    <w:abstractNumId w:val="35"/>
  </w:num>
  <w:num w:numId="24">
    <w:abstractNumId w:val="12"/>
  </w:num>
  <w:num w:numId="25">
    <w:abstractNumId w:val="5"/>
  </w:num>
  <w:num w:numId="26">
    <w:abstractNumId w:val="5"/>
  </w:num>
  <w:num w:numId="27">
    <w:abstractNumId w:val="36"/>
  </w:num>
  <w:num w:numId="28">
    <w:abstractNumId w:val="6"/>
  </w:num>
  <w:num w:numId="29">
    <w:abstractNumId w:val="22"/>
  </w:num>
  <w:num w:numId="30">
    <w:abstractNumId w:val="32"/>
  </w:num>
  <w:num w:numId="31">
    <w:abstractNumId w:val="14"/>
  </w:num>
  <w:num w:numId="32">
    <w:abstractNumId w:val="4"/>
  </w:num>
  <w:num w:numId="33">
    <w:abstractNumId w:val="9"/>
  </w:num>
  <w:num w:numId="34">
    <w:abstractNumId w:val="20"/>
  </w:num>
  <w:num w:numId="35">
    <w:abstractNumId w:val="42"/>
  </w:num>
  <w:num w:numId="36">
    <w:abstractNumId w:val="21"/>
  </w:num>
  <w:num w:numId="37">
    <w:abstractNumId w:val="28"/>
  </w:num>
  <w:num w:numId="38">
    <w:abstractNumId w:val="15"/>
  </w:num>
  <w:num w:numId="39">
    <w:abstractNumId w:val="38"/>
  </w:num>
  <w:num w:numId="40">
    <w:abstractNumId w:val="11"/>
  </w:num>
  <w:num w:numId="41">
    <w:abstractNumId w:val="23"/>
  </w:num>
  <w:num w:numId="42">
    <w:abstractNumId w:val="25"/>
  </w:num>
  <w:num w:numId="43">
    <w:abstractNumId w:val="29"/>
  </w:num>
  <w:num w:numId="44">
    <w:abstractNumId w:val="30"/>
  </w:num>
  <w:num w:numId="45">
    <w:abstractNumId w:val="8"/>
  </w:num>
  <w:num w:numId="46">
    <w:abstractNumId w:val="1"/>
  </w:num>
  <w:num w:numId="47">
    <w:abstractNumId w:val="10"/>
  </w:num>
  <w:num w:numId="48">
    <w:abstractNumId w:val="16"/>
  </w:num>
  <w:num w:numId="49">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hung Cao">
    <w15:presenceInfo w15:providerId="AD" w15:userId="S::cpphung@office.it.tdt.edu.vn::fc72d7e5-1ff8-49e0-bada-4a650776c4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attachedTemplate r:id="rId1"/>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270A"/>
    <w:rsid w:val="00000130"/>
    <w:rsid w:val="00001DC2"/>
    <w:rsid w:val="000039A2"/>
    <w:rsid w:val="000044BC"/>
    <w:rsid w:val="00004681"/>
    <w:rsid w:val="000056F0"/>
    <w:rsid w:val="00011A0A"/>
    <w:rsid w:val="00011E77"/>
    <w:rsid w:val="000124B9"/>
    <w:rsid w:val="000150E9"/>
    <w:rsid w:val="00015270"/>
    <w:rsid w:val="000156CF"/>
    <w:rsid w:val="0001666C"/>
    <w:rsid w:val="0001684B"/>
    <w:rsid w:val="00016BF5"/>
    <w:rsid w:val="0002217D"/>
    <w:rsid w:val="000231FF"/>
    <w:rsid w:val="00024496"/>
    <w:rsid w:val="000261E6"/>
    <w:rsid w:val="00031F05"/>
    <w:rsid w:val="00031FDC"/>
    <w:rsid w:val="00040EB5"/>
    <w:rsid w:val="00041EB1"/>
    <w:rsid w:val="00044678"/>
    <w:rsid w:val="00047066"/>
    <w:rsid w:val="00047537"/>
    <w:rsid w:val="00061022"/>
    <w:rsid w:val="000627B5"/>
    <w:rsid w:val="00064708"/>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7EF"/>
    <w:rsid w:val="00091FAD"/>
    <w:rsid w:val="000923FE"/>
    <w:rsid w:val="00092475"/>
    <w:rsid w:val="0009391D"/>
    <w:rsid w:val="00094020"/>
    <w:rsid w:val="0009795A"/>
    <w:rsid w:val="00097FC7"/>
    <w:rsid w:val="000A29CB"/>
    <w:rsid w:val="000A3C13"/>
    <w:rsid w:val="000B1191"/>
    <w:rsid w:val="000B390C"/>
    <w:rsid w:val="000B3982"/>
    <w:rsid w:val="000B66E1"/>
    <w:rsid w:val="000B6B48"/>
    <w:rsid w:val="000C0355"/>
    <w:rsid w:val="000C0C34"/>
    <w:rsid w:val="000C2123"/>
    <w:rsid w:val="000C21EA"/>
    <w:rsid w:val="000C76CD"/>
    <w:rsid w:val="000D1886"/>
    <w:rsid w:val="000D47A0"/>
    <w:rsid w:val="000D6BF1"/>
    <w:rsid w:val="000D77D4"/>
    <w:rsid w:val="000D7EE6"/>
    <w:rsid w:val="000E2182"/>
    <w:rsid w:val="000E33CB"/>
    <w:rsid w:val="000E511A"/>
    <w:rsid w:val="000E52E8"/>
    <w:rsid w:val="000F0A67"/>
    <w:rsid w:val="000F4A6A"/>
    <w:rsid w:val="0010236F"/>
    <w:rsid w:val="001025F9"/>
    <w:rsid w:val="00102699"/>
    <w:rsid w:val="0010371E"/>
    <w:rsid w:val="00115628"/>
    <w:rsid w:val="00115F33"/>
    <w:rsid w:val="001164DB"/>
    <w:rsid w:val="00116504"/>
    <w:rsid w:val="001165FB"/>
    <w:rsid w:val="00116807"/>
    <w:rsid w:val="00124585"/>
    <w:rsid w:val="00125477"/>
    <w:rsid w:val="00131BFE"/>
    <w:rsid w:val="001321C0"/>
    <w:rsid w:val="00132777"/>
    <w:rsid w:val="001330D5"/>
    <w:rsid w:val="00135B3E"/>
    <w:rsid w:val="00135CD7"/>
    <w:rsid w:val="001404FB"/>
    <w:rsid w:val="00141512"/>
    <w:rsid w:val="00143182"/>
    <w:rsid w:val="00145FFA"/>
    <w:rsid w:val="001478DC"/>
    <w:rsid w:val="001564A9"/>
    <w:rsid w:val="00157C09"/>
    <w:rsid w:val="00166DC0"/>
    <w:rsid w:val="00175C0A"/>
    <w:rsid w:val="00177980"/>
    <w:rsid w:val="00183877"/>
    <w:rsid w:val="0018400B"/>
    <w:rsid w:val="00187FA6"/>
    <w:rsid w:val="0019042E"/>
    <w:rsid w:val="0019113C"/>
    <w:rsid w:val="00191908"/>
    <w:rsid w:val="001958F5"/>
    <w:rsid w:val="001A1498"/>
    <w:rsid w:val="001A2B89"/>
    <w:rsid w:val="001A48C1"/>
    <w:rsid w:val="001B172C"/>
    <w:rsid w:val="001B1CF0"/>
    <w:rsid w:val="001B4CCF"/>
    <w:rsid w:val="001B6392"/>
    <w:rsid w:val="001C2C80"/>
    <w:rsid w:val="001C2F98"/>
    <w:rsid w:val="001C4E26"/>
    <w:rsid w:val="001C5A5E"/>
    <w:rsid w:val="001D0F8D"/>
    <w:rsid w:val="001D2645"/>
    <w:rsid w:val="001D3B06"/>
    <w:rsid w:val="001D3D77"/>
    <w:rsid w:val="001D49C3"/>
    <w:rsid w:val="001D797C"/>
    <w:rsid w:val="001D7AC6"/>
    <w:rsid w:val="001E1F7E"/>
    <w:rsid w:val="001E2722"/>
    <w:rsid w:val="001E2A66"/>
    <w:rsid w:val="001E7691"/>
    <w:rsid w:val="001F2541"/>
    <w:rsid w:val="001F2977"/>
    <w:rsid w:val="001F498B"/>
    <w:rsid w:val="00201249"/>
    <w:rsid w:val="00203AFF"/>
    <w:rsid w:val="002042C7"/>
    <w:rsid w:val="002059F5"/>
    <w:rsid w:val="00207DC2"/>
    <w:rsid w:val="00211478"/>
    <w:rsid w:val="0021392B"/>
    <w:rsid w:val="00221912"/>
    <w:rsid w:val="00221E3F"/>
    <w:rsid w:val="002267DA"/>
    <w:rsid w:val="00227D7A"/>
    <w:rsid w:val="002317AF"/>
    <w:rsid w:val="0023338E"/>
    <w:rsid w:val="00233AC9"/>
    <w:rsid w:val="00237482"/>
    <w:rsid w:val="00237BE3"/>
    <w:rsid w:val="00241DE4"/>
    <w:rsid w:val="00242D57"/>
    <w:rsid w:val="00243F77"/>
    <w:rsid w:val="00245E22"/>
    <w:rsid w:val="002469A3"/>
    <w:rsid w:val="002470DA"/>
    <w:rsid w:val="00251C84"/>
    <w:rsid w:val="00252F26"/>
    <w:rsid w:val="0025385E"/>
    <w:rsid w:val="00253BD6"/>
    <w:rsid w:val="00254073"/>
    <w:rsid w:val="002541C5"/>
    <w:rsid w:val="00255160"/>
    <w:rsid w:val="00256322"/>
    <w:rsid w:val="00257377"/>
    <w:rsid w:val="0026089B"/>
    <w:rsid w:val="00264743"/>
    <w:rsid w:val="0026479B"/>
    <w:rsid w:val="0027034D"/>
    <w:rsid w:val="00270A03"/>
    <w:rsid w:val="00275D29"/>
    <w:rsid w:val="00276E10"/>
    <w:rsid w:val="002804C7"/>
    <w:rsid w:val="0028077D"/>
    <w:rsid w:val="002810BC"/>
    <w:rsid w:val="00291721"/>
    <w:rsid w:val="002920D2"/>
    <w:rsid w:val="00293248"/>
    <w:rsid w:val="0029424B"/>
    <w:rsid w:val="00297C8B"/>
    <w:rsid w:val="002A0349"/>
    <w:rsid w:val="002A2B53"/>
    <w:rsid w:val="002A3C36"/>
    <w:rsid w:val="002A4444"/>
    <w:rsid w:val="002A597B"/>
    <w:rsid w:val="002A59BE"/>
    <w:rsid w:val="002A6088"/>
    <w:rsid w:val="002A6383"/>
    <w:rsid w:val="002A6886"/>
    <w:rsid w:val="002A6A75"/>
    <w:rsid w:val="002A7D18"/>
    <w:rsid w:val="002B00F1"/>
    <w:rsid w:val="002B7A92"/>
    <w:rsid w:val="002C03C9"/>
    <w:rsid w:val="002C058F"/>
    <w:rsid w:val="002C1EDA"/>
    <w:rsid w:val="002C2E8D"/>
    <w:rsid w:val="002C3297"/>
    <w:rsid w:val="002C3653"/>
    <w:rsid w:val="002C3857"/>
    <w:rsid w:val="002C7D83"/>
    <w:rsid w:val="002D0750"/>
    <w:rsid w:val="002D0894"/>
    <w:rsid w:val="002D237A"/>
    <w:rsid w:val="002D3080"/>
    <w:rsid w:val="002D4934"/>
    <w:rsid w:val="002D5A46"/>
    <w:rsid w:val="002E12DC"/>
    <w:rsid w:val="002E2986"/>
    <w:rsid w:val="002E2ED7"/>
    <w:rsid w:val="002E6110"/>
    <w:rsid w:val="002F12D4"/>
    <w:rsid w:val="002F2024"/>
    <w:rsid w:val="002F52FD"/>
    <w:rsid w:val="002F576F"/>
    <w:rsid w:val="002F5AA2"/>
    <w:rsid w:val="00300BF6"/>
    <w:rsid w:val="003017B5"/>
    <w:rsid w:val="00304086"/>
    <w:rsid w:val="0030420D"/>
    <w:rsid w:val="003061E1"/>
    <w:rsid w:val="00307464"/>
    <w:rsid w:val="00311981"/>
    <w:rsid w:val="00312DDE"/>
    <w:rsid w:val="003138C4"/>
    <w:rsid w:val="0031711A"/>
    <w:rsid w:val="00317DC9"/>
    <w:rsid w:val="003218FF"/>
    <w:rsid w:val="00322D67"/>
    <w:rsid w:val="00322F09"/>
    <w:rsid w:val="00325192"/>
    <w:rsid w:val="00326277"/>
    <w:rsid w:val="00327F43"/>
    <w:rsid w:val="00332F6E"/>
    <w:rsid w:val="0033462A"/>
    <w:rsid w:val="00334DF1"/>
    <w:rsid w:val="003405A3"/>
    <w:rsid w:val="00341600"/>
    <w:rsid w:val="00341ADA"/>
    <w:rsid w:val="00342E73"/>
    <w:rsid w:val="00345DC4"/>
    <w:rsid w:val="003470C7"/>
    <w:rsid w:val="003502ED"/>
    <w:rsid w:val="0035504E"/>
    <w:rsid w:val="00355416"/>
    <w:rsid w:val="00355638"/>
    <w:rsid w:val="003561A1"/>
    <w:rsid w:val="003611B1"/>
    <w:rsid w:val="00367D1D"/>
    <w:rsid w:val="0037409F"/>
    <w:rsid w:val="003767EA"/>
    <w:rsid w:val="00376CB0"/>
    <w:rsid w:val="003818D0"/>
    <w:rsid w:val="00383875"/>
    <w:rsid w:val="00390CDA"/>
    <w:rsid w:val="00392238"/>
    <w:rsid w:val="00394013"/>
    <w:rsid w:val="003A0E4B"/>
    <w:rsid w:val="003A3043"/>
    <w:rsid w:val="003A45F7"/>
    <w:rsid w:val="003A529D"/>
    <w:rsid w:val="003A7194"/>
    <w:rsid w:val="003B0F1C"/>
    <w:rsid w:val="003B29C0"/>
    <w:rsid w:val="003B643D"/>
    <w:rsid w:val="003C282F"/>
    <w:rsid w:val="003C46B8"/>
    <w:rsid w:val="003C4B60"/>
    <w:rsid w:val="003C69F2"/>
    <w:rsid w:val="003D0ABC"/>
    <w:rsid w:val="003D1F1E"/>
    <w:rsid w:val="003D41D4"/>
    <w:rsid w:val="003D4A95"/>
    <w:rsid w:val="003E1024"/>
    <w:rsid w:val="003E2446"/>
    <w:rsid w:val="003E4918"/>
    <w:rsid w:val="003E7CCF"/>
    <w:rsid w:val="003F2259"/>
    <w:rsid w:val="003F2557"/>
    <w:rsid w:val="003F5F92"/>
    <w:rsid w:val="003F6DE4"/>
    <w:rsid w:val="004012A1"/>
    <w:rsid w:val="0040197E"/>
    <w:rsid w:val="00402379"/>
    <w:rsid w:val="004023E9"/>
    <w:rsid w:val="004062A7"/>
    <w:rsid w:val="00406F7A"/>
    <w:rsid w:val="00410D91"/>
    <w:rsid w:val="00412775"/>
    <w:rsid w:val="00413883"/>
    <w:rsid w:val="0041523E"/>
    <w:rsid w:val="00415CF8"/>
    <w:rsid w:val="0041606A"/>
    <w:rsid w:val="00417A63"/>
    <w:rsid w:val="00421001"/>
    <w:rsid w:val="00422476"/>
    <w:rsid w:val="004317AB"/>
    <w:rsid w:val="004340C9"/>
    <w:rsid w:val="00434949"/>
    <w:rsid w:val="00434B9A"/>
    <w:rsid w:val="0043571C"/>
    <w:rsid w:val="00437413"/>
    <w:rsid w:val="00440E25"/>
    <w:rsid w:val="00441E65"/>
    <w:rsid w:val="004458CB"/>
    <w:rsid w:val="00447133"/>
    <w:rsid w:val="00447175"/>
    <w:rsid w:val="00453AB1"/>
    <w:rsid w:val="00455AAF"/>
    <w:rsid w:val="0045655F"/>
    <w:rsid w:val="0046008B"/>
    <w:rsid w:val="004642D6"/>
    <w:rsid w:val="0046645C"/>
    <w:rsid w:val="004667D2"/>
    <w:rsid w:val="00471711"/>
    <w:rsid w:val="0047257A"/>
    <w:rsid w:val="00475B4D"/>
    <w:rsid w:val="00475D12"/>
    <w:rsid w:val="00477B06"/>
    <w:rsid w:val="00480EE1"/>
    <w:rsid w:val="00483A55"/>
    <w:rsid w:val="00484005"/>
    <w:rsid w:val="004840CB"/>
    <w:rsid w:val="0049014F"/>
    <w:rsid w:val="00494844"/>
    <w:rsid w:val="00494FC4"/>
    <w:rsid w:val="00496379"/>
    <w:rsid w:val="004964EE"/>
    <w:rsid w:val="004968AB"/>
    <w:rsid w:val="004A08FE"/>
    <w:rsid w:val="004A559B"/>
    <w:rsid w:val="004A7C39"/>
    <w:rsid w:val="004B14F0"/>
    <w:rsid w:val="004B1FB6"/>
    <w:rsid w:val="004B29B1"/>
    <w:rsid w:val="004B4764"/>
    <w:rsid w:val="004B4A47"/>
    <w:rsid w:val="004B59DD"/>
    <w:rsid w:val="004B5A4D"/>
    <w:rsid w:val="004B79EB"/>
    <w:rsid w:val="004C1B97"/>
    <w:rsid w:val="004C3584"/>
    <w:rsid w:val="004C5AFB"/>
    <w:rsid w:val="004C654D"/>
    <w:rsid w:val="004C6A89"/>
    <w:rsid w:val="004D1361"/>
    <w:rsid w:val="004D2B86"/>
    <w:rsid w:val="004D328A"/>
    <w:rsid w:val="004D4681"/>
    <w:rsid w:val="004E02D8"/>
    <w:rsid w:val="004E0A3F"/>
    <w:rsid w:val="004E3C16"/>
    <w:rsid w:val="004E3E78"/>
    <w:rsid w:val="004F68FF"/>
    <w:rsid w:val="004F78FC"/>
    <w:rsid w:val="004F79A0"/>
    <w:rsid w:val="00500E77"/>
    <w:rsid w:val="005026D4"/>
    <w:rsid w:val="005029AE"/>
    <w:rsid w:val="00504CE8"/>
    <w:rsid w:val="005061BF"/>
    <w:rsid w:val="00507ACB"/>
    <w:rsid w:val="00511C2E"/>
    <w:rsid w:val="005125B8"/>
    <w:rsid w:val="00512D4B"/>
    <w:rsid w:val="00521510"/>
    <w:rsid w:val="00522EDD"/>
    <w:rsid w:val="00525FBA"/>
    <w:rsid w:val="00531D29"/>
    <w:rsid w:val="005328EE"/>
    <w:rsid w:val="00533646"/>
    <w:rsid w:val="00534C3F"/>
    <w:rsid w:val="00534F27"/>
    <w:rsid w:val="00535EA9"/>
    <w:rsid w:val="00537F11"/>
    <w:rsid w:val="00546D2F"/>
    <w:rsid w:val="0054741E"/>
    <w:rsid w:val="005508B8"/>
    <w:rsid w:val="005515AE"/>
    <w:rsid w:val="0055175B"/>
    <w:rsid w:val="00551B9A"/>
    <w:rsid w:val="0055201C"/>
    <w:rsid w:val="005530F2"/>
    <w:rsid w:val="00554B6A"/>
    <w:rsid w:val="005555B4"/>
    <w:rsid w:val="00557FCB"/>
    <w:rsid w:val="00561DBC"/>
    <w:rsid w:val="00562A79"/>
    <w:rsid w:val="00563A9A"/>
    <w:rsid w:val="005648B8"/>
    <w:rsid w:val="005650E6"/>
    <w:rsid w:val="005671B4"/>
    <w:rsid w:val="005706B9"/>
    <w:rsid w:val="0058019B"/>
    <w:rsid w:val="00583B74"/>
    <w:rsid w:val="00586B53"/>
    <w:rsid w:val="00590FD9"/>
    <w:rsid w:val="00596856"/>
    <w:rsid w:val="00597AD0"/>
    <w:rsid w:val="005A09D8"/>
    <w:rsid w:val="005A342D"/>
    <w:rsid w:val="005A5EF5"/>
    <w:rsid w:val="005B2BEB"/>
    <w:rsid w:val="005B4E18"/>
    <w:rsid w:val="005B615F"/>
    <w:rsid w:val="005B7259"/>
    <w:rsid w:val="005B7E05"/>
    <w:rsid w:val="005C07A7"/>
    <w:rsid w:val="005C321F"/>
    <w:rsid w:val="005C5274"/>
    <w:rsid w:val="005D0A88"/>
    <w:rsid w:val="005D1999"/>
    <w:rsid w:val="005D1EC2"/>
    <w:rsid w:val="005D5C20"/>
    <w:rsid w:val="005E2E9C"/>
    <w:rsid w:val="005E4587"/>
    <w:rsid w:val="005E475A"/>
    <w:rsid w:val="005E5078"/>
    <w:rsid w:val="005E6CD4"/>
    <w:rsid w:val="005F3F26"/>
    <w:rsid w:val="005F5AF2"/>
    <w:rsid w:val="005F6BEC"/>
    <w:rsid w:val="00602D02"/>
    <w:rsid w:val="006031DA"/>
    <w:rsid w:val="006035F2"/>
    <w:rsid w:val="00605208"/>
    <w:rsid w:val="00612205"/>
    <w:rsid w:val="00612A31"/>
    <w:rsid w:val="00617688"/>
    <w:rsid w:val="00621184"/>
    <w:rsid w:val="0062217E"/>
    <w:rsid w:val="00625990"/>
    <w:rsid w:val="006277F3"/>
    <w:rsid w:val="00633887"/>
    <w:rsid w:val="00641049"/>
    <w:rsid w:val="0064189C"/>
    <w:rsid w:val="00642693"/>
    <w:rsid w:val="00647757"/>
    <w:rsid w:val="00647923"/>
    <w:rsid w:val="00650C7F"/>
    <w:rsid w:val="00650D6A"/>
    <w:rsid w:val="0065510C"/>
    <w:rsid w:val="00656572"/>
    <w:rsid w:val="006567D0"/>
    <w:rsid w:val="0066243B"/>
    <w:rsid w:val="00666E40"/>
    <w:rsid w:val="00672032"/>
    <w:rsid w:val="00673654"/>
    <w:rsid w:val="006807A5"/>
    <w:rsid w:val="006828A9"/>
    <w:rsid w:val="00691853"/>
    <w:rsid w:val="00696609"/>
    <w:rsid w:val="00697099"/>
    <w:rsid w:val="00697D1A"/>
    <w:rsid w:val="006A107D"/>
    <w:rsid w:val="006A10B7"/>
    <w:rsid w:val="006A1D31"/>
    <w:rsid w:val="006A5639"/>
    <w:rsid w:val="006A7C2E"/>
    <w:rsid w:val="006B1122"/>
    <w:rsid w:val="006B1799"/>
    <w:rsid w:val="006B29E8"/>
    <w:rsid w:val="006C0284"/>
    <w:rsid w:val="006C0C6A"/>
    <w:rsid w:val="006C19E1"/>
    <w:rsid w:val="006C27E1"/>
    <w:rsid w:val="006C2EAE"/>
    <w:rsid w:val="006C36DE"/>
    <w:rsid w:val="006C6E52"/>
    <w:rsid w:val="006C7977"/>
    <w:rsid w:val="006D05B7"/>
    <w:rsid w:val="006D0BC9"/>
    <w:rsid w:val="006D1207"/>
    <w:rsid w:val="006D1B5C"/>
    <w:rsid w:val="006D4FC3"/>
    <w:rsid w:val="006E0182"/>
    <w:rsid w:val="006E03D3"/>
    <w:rsid w:val="006E0DEB"/>
    <w:rsid w:val="006E1B30"/>
    <w:rsid w:val="006E46F5"/>
    <w:rsid w:val="006F43A7"/>
    <w:rsid w:val="006F52D5"/>
    <w:rsid w:val="00715874"/>
    <w:rsid w:val="00715E62"/>
    <w:rsid w:val="00717A06"/>
    <w:rsid w:val="00721003"/>
    <w:rsid w:val="00724969"/>
    <w:rsid w:val="007258F2"/>
    <w:rsid w:val="00726043"/>
    <w:rsid w:val="00726E62"/>
    <w:rsid w:val="00727A8D"/>
    <w:rsid w:val="00727D22"/>
    <w:rsid w:val="00730A3D"/>
    <w:rsid w:val="00732E1D"/>
    <w:rsid w:val="0073685A"/>
    <w:rsid w:val="00737340"/>
    <w:rsid w:val="007430B9"/>
    <w:rsid w:val="00743F7E"/>
    <w:rsid w:val="0074420E"/>
    <w:rsid w:val="00744264"/>
    <w:rsid w:val="00744B41"/>
    <w:rsid w:val="00745EFE"/>
    <w:rsid w:val="00750A50"/>
    <w:rsid w:val="00750BBB"/>
    <w:rsid w:val="00750CE5"/>
    <w:rsid w:val="007518D9"/>
    <w:rsid w:val="007537B8"/>
    <w:rsid w:val="007561C0"/>
    <w:rsid w:val="0076012A"/>
    <w:rsid w:val="00764AFE"/>
    <w:rsid w:val="00765673"/>
    <w:rsid w:val="00765D9D"/>
    <w:rsid w:val="00767AF7"/>
    <w:rsid w:val="00767C52"/>
    <w:rsid w:val="00767CD5"/>
    <w:rsid w:val="0077271D"/>
    <w:rsid w:val="00772A10"/>
    <w:rsid w:val="00774292"/>
    <w:rsid w:val="00774A80"/>
    <w:rsid w:val="00776F54"/>
    <w:rsid w:val="00777800"/>
    <w:rsid w:val="00782194"/>
    <w:rsid w:val="00790263"/>
    <w:rsid w:val="00792315"/>
    <w:rsid w:val="00792C78"/>
    <w:rsid w:val="007947F2"/>
    <w:rsid w:val="0079530C"/>
    <w:rsid w:val="007970BD"/>
    <w:rsid w:val="007A03AC"/>
    <w:rsid w:val="007A1F6A"/>
    <w:rsid w:val="007A24E9"/>
    <w:rsid w:val="007A584F"/>
    <w:rsid w:val="007B18D4"/>
    <w:rsid w:val="007B1A23"/>
    <w:rsid w:val="007B1F40"/>
    <w:rsid w:val="007B493C"/>
    <w:rsid w:val="007B4DE8"/>
    <w:rsid w:val="007B5F4E"/>
    <w:rsid w:val="007B782D"/>
    <w:rsid w:val="007B78F9"/>
    <w:rsid w:val="007B7FF5"/>
    <w:rsid w:val="007C021D"/>
    <w:rsid w:val="007C0E99"/>
    <w:rsid w:val="007C2682"/>
    <w:rsid w:val="007C5C87"/>
    <w:rsid w:val="007C652B"/>
    <w:rsid w:val="007C706C"/>
    <w:rsid w:val="007C7DD1"/>
    <w:rsid w:val="007D0718"/>
    <w:rsid w:val="007D2D75"/>
    <w:rsid w:val="007D3D85"/>
    <w:rsid w:val="007E1438"/>
    <w:rsid w:val="007E1654"/>
    <w:rsid w:val="007E1FB0"/>
    <w:rsid w:val="007E36D1"/>
    <w:rsid w:val="007E3E7D"/>
    <w:rsid w:val="007E6A47"/>
    <w:rsid w:val="007E6AB9"/>
    <w:rsid w:val="007E7FF7"/>
    <w:rsid w:val="007F1F4C"/>
    <w:rsid w:val="007F1F75"/>
    <w:rsid w:val="007F25D4"/>
    <w:rsid w:val="007F4DD9"/>
    <w:rsid w:val="00800730"/>
    <w:rsid w:val="0080152B"/>
    <w:rsid w:val="00804F70"/>
    <w:rsid w:val="008107A9"/>
    <w:rsid w:val="00812242"/>
    <w:rsid w:val="008141EB"/>
    <w:rsid w:val="0081476E"/>
    <w:rsid w:val="008162ED"/>
    <w:rsid w:val="008200D5"/>
    <w:rsid w:val="00820ABD"/>
    <w:rsid w:val="00822208"/>
    <w:rsid w:val="00831C80"/>
    <w:rsid w:val="008327BB"/>
    <w:rsid w:val="00837BD6"/>
    <w:rsid w:val="00837F3A"/>
    <w:rsid w:val="00840058"/>
    <w:rsid w:val="008416C4"/>
    <w:rsid w:val="0084418D"/>
    <w:rsid w:val="008475D0"/>
    <w:rsid w:val="0085058A"/>
    <w:rsid w:val="008508C7"/>
    <w:rsid w:val="00851BDB"/>
    <w:rsid w:val="008528EF"/>
    <w:rsid w:val="00852E74"/>
    <w:rsid w:val="0085744F"/>
    <w:rsid w:val="00861BEF"/>
    <w:rsid w:val="008630F6"/>
    <w:rsid w:val="00864E83"/>
    <w:rsid w:val="00867C2D"/>
    <w:rsid w:val="008702D9"/>
    <w:rsid w:val="008715E3"/>
    <w:rsid w:val="008723D4"/>
    <w:rsid w:val="00872606"/>
    <w:rsid w:val="008730A8"/>
    <w:rsid w:val="00873E8E"/>
    <w:rsid w:val="008746D8"/>
    <w:rsid w:val="008770CF"/>
    <w:rsid w:val="00880584"/>
    <w:rsid w:val="00880D36"/>
    <w:rsid w:val="00882B10"/>
    <w:rsid w:val="00883673"/>
    <w:rsid w:val="00885F07"/>
    <w:rsid w:val="008865DB"/>
    <w:rsid w:val="008870DC"/>
    <w:rsid w:val="0088758B"/>
    <w:rsid w:val="00887DA5"/>
    <w:rsid w:val="008910CC"/>
    <w:rsid w:val="0089267B"/>
    <w:rsid w:val="008944CD"/>
    <w:rsid w:val="00894D7E"/>
    <w:rsid w:val="00895257"/>
    <w:rsid w:val="008A1AFE"/>
    <w:rsid w:val="008A2177"/>
    <w:rsid w:val="008A44E4"/>
    <w:rsid w:val="008A4B5B"/>
    <w:rsid w:val="008B1328"/>
    <w:rsid w:val="008B164B"/>
    <w:rsid w:val="008B1776"/>
    <w:rsid w:val="008B464E"/>
    <w:rsid w:val="008B7FAC"/>
    <w:rsid w:val="008C1B22"/>
    <w:rsid w:val="008C27A8"/>
    <w:rsid w:val="008C34F7"/>
    <w:rsid w:val="008C449A"/>
    <w:rsid w:val="008C68AC"/>
    <w:rsid w:val="008C6CC3"/>
    <w:rsid w:val="008D27BE"/>
    <w:rsid w:val="008D5F38"/>
    <w:rsid w:val="008D6D1C"/>
    <w:rsid w:val="008D797C"/>
    <w:rsid w:val="008E03A5"/>
    <w:rsid w:val="008E2972"/>
    <w:rsid w:val="008E2AB5"/>
    <w:rsid w:val="008E6453"/>
    <w:rsid w:val="008F018A"/>
    <w:rsid w:val="008F1D14"/>
    <w:rsid w:val="008F59E9"/>
    <w:rsid w:val="008F6B7C"/>
    <w:rsid w:val="009039CD"/>
    <w:rsid w:val="00910FC2"/>
    <w:rsid w:val="009110E4"/>
    <w:rsid w:val="00911C5A"/>
    <w:rsid w:val="0091295D"/>
    <w:rsid w:val="00914331"/>
    <w:rsid w:val="009150DD"/>
    <w:rsid w:val="0091566D"/>
    <w:rsid w:val="00916B7C"/>
    <w:rsid w:val="0092073E"/>
    <w:rsid w:val="00921D0A"/>
    <w:rsid w:val="00922739"/>
    <w:rsid w:val="00930B96"/>
    <w:rsid w:val="00931327"/>
    <w:rsid w:val="00935ED5"/>
    <w:rsid w:val="00937DF5"/>
    <w:rsid w:val="009413C9"/>
    <w:rsid w:val="00942B81"/>
    <w:rsid w:val="00946108"/>
    <w:rsid w:val="009464C8"/>
    <w:rsid w:val="00947174"/>
    <w:rsid w:val="009504F1"/>
    <w:rsid w:val="00950B13"/>
    <w:rsid w:val="0095177D"/>
    <w:rsid w:val="00951B22"/>
    <w:rsid w:val="009527BD"/>
    <w:rsid w:val="00954D57"/>
    <w:rsid w:val="009568D4"/>
    <w:rsid w:val="00957556"/>
    <w:rsid w:val="009600A1"/>
    <w:rsid w:val="00961EA9"/>
    <w:rsid w:val="00963AE5"/>
    <w:rsid w:val="00967555"/>
    <w:rsid w:val="009709DD"/>
    <w:rsid w:val="00971934"/>
    <w:rsid w:val="00972F5F"/>
    <w:rsid w:val="00975899"/>
    <w:rsid w:val="0097682F"/>
    <w:rsid w:val="00977569"/>
    <w:rsid w:val="009808D1"/>
    <w:rsid w:val="009814B7"/>
    <w:rsid w:val="0098167D"/>
    <w:rsid w:val="00983C8D"/>
    <w:rsid w:val="0098473B"/>
    <w:rsid w:val="00991E35"/>
    <w:rsid w:val="00993BD7"/>
    <w:rsid w:val="009950D8"/>
    <w:rsid w:val="00995605"/>
    <w:rsid w:val="00995A0A"/>
    <w:rsid w:val="009A1965"/>
    <w:rsid w:val="009A2F7B"/>
    <w:rsid w:val="009A515E"/>
    <w:rsid w:val="009A5FE3"/>
    <w:rsid w:val="009A69AF"/>
    <w:rsid w:val="009A75A3"/>
    <w:rsid w:val="009B1406"/>
    <w:rsid w:val="009B1AFB"/>
    <w:rsid w:val="009B23A4"/>
    <w:rsid w:val="009B514A"/>
    <w:rsid w:val="009B615A"/>
    <w:rsid w:val="009B7272"/>
    <w:rsid w:val="009C0A5E"/>
    <w:rsid w:val="009C540B"/>
    <w:rsid w:val="009C58E7"/>
    <w:rsid w:val="009C6943"/>
    <w:rsid w:val="009C6C4F"/>
    <w:rsid w:val="009C6D6C"/>
    <w:rsid w:val="009D0065"/>
    <w:rsid w:val="009D1E55"/>
    <w:rsid w:val="009D1F36"/>
    <w:rsid w:val="009D6C0B"/>
    <w:rsid w:val="009E1C0E"/>
    <w:rsid w:val="009E4F6D"/>
    <w:rsid w:val="009E5C7A"/>
    <w:rsid w:val="009E64CF"/>
    <w:rsid w:val="009F09C5"/>
    <w:rsid w:val="009F4655"/>
    <w:rsid w:val="009F6DC5"/>
    <w:rsid w:val="009F7AF0"/>
    <w:rsid w:val="00A0021B"/>
    <w:rsid w:val="00A00577"/>
    <w:rsid w:val="00A008F4"/>
    <w:rsid w:val="00A0255A"/>
    <w:rsid w:val="00A0308B"/>
    <w:rsid w:val="00A068EB"/>
    <w:rsid w:val="00A10E00"/>
    <w:rsid w:val="00A110DE"/>
    <w:rsid w:val="00A14D15"/>
    <w:rsid w:val="00A1517C"/>
    <w:rsid w:val="00A167B7"/>
    <w:rsid w:val="00A17B8D"/>
    <w:rsid w:val="00A2308F"/>
    <w:rsid w:val="00A23BE5"/>
    <w:rsid w:val="00A262B4"/>
    <w:rsid w:val="00A27750"/>
    <w:rsid w:val="00A30E83"/>
    <w:rsid w:val="00A31CCE"/>
    <w:rsid w:val="00A33D6B"/>
    <w:rsid w:val="00A33ED6"/>
    <w:rsid w:val="00A34BC9"/>
    <w:rsid w:val="00A34F50"/>
    <w:rsid w:val="00A4299A"/>
    <w:rsid w:val="00A430B3"/>
    <w:rsid w:val="00A43B20"/>
    <w:rsid w:val="00A45914"/>
    <w:rsid w:val="00A514F1"/>
    <w:rsid w:val="00A54BBB"/>
    <w:rsid w:val="00A60753"/>
    <w:rsid w:val="00A628D6"/>
    <w:rsid w:val="00A70634"/>
    <w:rsid w:val="00A7224B"/>
    <w:rsid w:val="00A80B3D"/>
    <w:rsid w:val="00A80C39"/>
    <w:rsid w:val="00A8142D"/>
    <w:rsid w:val="00A8257B"/>
    <w:rsid w:val="00A8401C"/>
    <w:rsid w:val="00A846C7"/>
    <w:rsid w:val="00A84F57"/>
    <w:rsid w:val="00A86AD5"/>
    <w:rsid w:val="00A9172F"/>
    <w:rsid w:val="00A96D9E"/>
    <w:rsid w:val="00AA35D1"/>
    <w:rsid w:val="00AA38A1"/>
    <w:rsid w:val="00AA639F"/>
    <w:rsid w:val="00AB274B"/>
    <w:rsid w:val="00AB49C4"/>
    <w:rsid w:val="00AB768D"/>
    <w:rsid w:val="00AC27AF"/>
    <w:rsid w:val="00AC4280"/>
    <w:rsid w:val="00AC61BF"/>
    <w:rsid w:val="00AD02DA"/>
    <w:rsid w:val="00AD102C"/>
    <w:rsid w:val="00AD235E"/>
    <w:rsid w:val="00AD2713"/>
    <w:rsid w:val="00AD4421"/>
    <w:rsid w:val="00AE01CC"/>
    <w:rsid w:val="00AE21EF"/>
    <w:rsid w:val="00AE4292"/>
    <w:rsid w:val="00AE5B40"/>
    <w:rsid w:val="00AF06AF"/>
    <w:rsid w:val="00AF0EDC"/>
    <w:rsid w:val="00AF7A13"/>
    <w:rsid w:val="00B0058F"/>
    <w:rsid w:val="00B014C8"/>
    <w:rsid w:val="00B05D2A"/>
    <w:rsid w:val="00B07331"/>
    <w:rsid w:val="00B127A5"/>
    <w:rsid w:val="00B12870"/>
    <w:rsid w:val="00B12E19"/>
    <w:rsid w:val="00B13E82"/>
    <w:rsid w:val="00B1468B"/>
    <w:rsid w:val="00B153C0"/>
    <w:rsid w:val="00B21CF2"/>
    <w:rsid w:val="00B22036"/>
    <w:rsid w:val="00B23E61"/>
    <w:rsid w:val="00B24383"/>
    <w:rsid w:val="00B253E0"/>
    <w:rsid w:val="00B26DAF"/>
    <w:rsid w:val="00B26F7C"/>
    <w:rsid w:val="00B30413"/>
    <w:rsid w:val="00B353B1"/>
    <w:rsid w:val="00B35A6F"/>
    <w:rsid w:val="00B410DA"/>
    <w:rsid w:val="00B437ED"/>
    <w:rsid w:val="00B534B7"/>
    <w:rsid w:val="00B5427A"/>
    <w:rsid w:val="00B54D17"/>
    <w:rsid w:val="00B55C92"/>
    <w:rsid w:val="00B56979"/>
    <w:rsid w:val="00B62EAA"/>
    <w:rsid w:val="00B64477"/>
    <w:rsid w:val="00B66045"/>
    <w:rsid w:val="00B73341"/>
    <w:rsid w:val="00B7414D"/>
    <w:rsid w:val="00B7458A"/>
    <w:rsid w:val="00B750C8"/>
    <w:rsid w:val="00B76F10"/>
    <w:rsid w:val="00B77329"/>
    <w:rsid w:val="00B806C7"/>
    <w:rsid w:val="00B83483"/>
    <w:rsid w:val="00B83D10"/>
    <w:rsid w:val="00B8489D"/>
    <w:rsid w:val="00B85E00"/>
    <w:rsid w:val="00B86B36"/>
    <w:rsid w:val="00B97C74"/>
    <w:rsid w:val="00BA0CC2"/>
    <w:rsid w:val="00BA2658"/>
    <w:rsid w:val="00BB0021"/>
    <w:rsid w:val="00BB2B2A"/>
    <w:rsid w:val="00BB32B9"/>
    <w:rsid w:val="00BB39BF"/>
    <w:rsid w:val="00BB3A43"/>
    <w:rsid w:val="00BB4AB7"/>
    <w:rsid w:val="00BB6C44"/>
    <w:rsid w:val="00BB7956"/>
    <w:rsid w:val="00BC0322"/>
    <w:rsid w:val="00BC0FC7"/>
    <w:rsid w:val="00BC2A04"/>
    <w:rsid w:val="00BC2BCD"/>
    <w:rsid w:val="00BC78BD"/>
    <w:rsid w:val="00BD4466"/>
    <w:rsid w:val="00BD4575"/>
    <w:rsid w:val="00BE1062"/>
    <w:rsid w:val="00BE6461"/>
    <w:rsid w:val="00BE6D8A"/>
    <w:rsid w:val="00BE6F2C"/>
    <w:rsid w:val="00BE7AF5"/>
    <w:rsid w:val="00BF2976"/>
    <w:rsid w:val="00BF2FF1"/>
    <w:rsid w:val="00C01380"/>
    <w:rsid w:val="00C02C80"/>
    <w:rsid w:val="00C040E7"/>
    <w:rsid w:val="00C057BA"/>
    <w:rsid w:val="00C100B7"/>
    <w:rsid w:val="00C15C4E"/>
    <w:rsid w:val="00C20FE5"/>
    <w:rsid w:val="00C316AA"/>
    <w:rsid w:val="00C3189F"/>
    <w:rsid w:val="00C3232F"/>
    <w:rsid w:val="00C32C35"/>
    <w:rsid w:val="00C32CFB"/>
    <w:rsid w:val="00C3524C"/>
    <w:rsid w:val="00C41FD0"/>
    <w:rsid w:val="00C455C9"/>
    <w:rsid w:val="00C5131C"/>
    <w:rsid w:val="00C545EE"/>
    <w:rsid w:val="00C55438"/>
    <w:rsid w:val="00C56904"/>
    <w:rsid w:val="00C56930"/>
    <w:rsid w:val="00C57567"/>
    <w:rsid w:val="00C60717"/>
    <w:rsid w:val="00C624AD"/>
    <w:rsid w:val="00C63081"/>
    <w:rsid w:val="00C6334E"/>
    <w:rsid w:val="00C63436"/>
    <w:rsid w:val="00C63503"/>
    <w:rsid w:val="00C70A1B"/>
    <w:rsid w:val="00C740F6"/>
    <w:rsid w:val="00C75086"/>
    <w:rsid w:val="00C81086"/>
    <w:rsid w:val="00C8271B"/>
    <w:rsid w:val="00C82882"/>
    <w:rsid w:val="00C83C84"/>
    <w:rsid w:val="00C87FAD"/>
    <w:rsid w:val="00C90A8D"/>
    <w:rsid w:val="00C91212"/>
    <w:rsid w:val="00C93F75"/>
    <w:rsid w:val="00C95B66"/>
    <w:rsid w:val="00C9610E"/>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4B00"/>
    <w:rsid w:val="00CC52C0"/>
    <w:rsid w:val="00CD13EC"/>
    <w:rsid w:val="00CD18A6"/>
    <w:rsid w:val="00CD4E56"/>
    <w:rsid w:val="00CD5A79"/>
    <w:rsid w:val="00CD5CD1"/>
    <w:rsid w:val="00CD62B5"/>
    <w:rsid w:val="00CD6912"/>
    <w:rsid w:val="00CE2EAE"/>
    <w:rsid w:val="00CE5388"/>
    <w:rsid w:val="00CE5555"/>
    <w:rsid w:val="00CE6E62"/>
    <w:rsid w:val="00CE75CF"/>
    <w:rsid w:val="00CF1A69"/>
    <w:rsid w:val="00CF39F0"/>
    <w:rsid w:val="00D0096C"/>
    <w:rsid w:val="00D013C2"/>
    <w:rsid w:val="00D01593"/>
    <w:rsid w:val="00D0266E"/>
    <w:rsid w:val="00D0457B"/>
    <w:rsid w:val="00D04DEC"/>
    <w:rsid w:val="00D05327"/>
    <w:rsid w:val="00D058C6"/>
    <w:rsid w:val="00D12397"/>
    <w:rsid w:val="00D129A4"/>
    <w:rsid w:val="00D13A2D"/>
    <w:rsid w:val="00D13BE5"/>
    <w:rsid w:val="00D20648"/>
    <w:rsid w:val="00D20B84"/>
    <w:rsid w:val="00D22FE0"/>
    <w:rsid w:val="00D23270"/>
    <w:rsid w:val="00D23CF5"/>
    <w:rsid w:val="00D26870"/>
    <w:rsid w:val="00D270F3"/>
    <w:rsid w:val="00D3480A"/>
    <w:rsid w:val="00D4148C"/>
    <w:rsid w:val="00D43FC9"/>
    <w:rsid w:val="00D47C95"/>
    <w:rsid w:val="00D505E2"/>
    <w:rsid w:val="00D623EA"/>
    <w:rsid w:val="00D63C9D"/>
    <w:rsid w:val="00D67502"/>
    <w:rsid w:val="00D7424C"/>
    <w:rsid w:val="00D77684"/>
    <w:rsid w:val="00D80D48"/>
    <w:rsid w:val="00D82467"/>
    <w:rsid w:val="00D824C4"/>
    <w:rsid w:val="00D82AAC"/>
    <w:rsid w:val="00D83471"/>
    <w:rsid w:val="00D85FF1"/>
    <w:rsid w:val="00D8713F"/>
    <w:rsid w:val="00D877B6"/>
    <w:rsid w:val="00D87914"/>
    <w:rsid w:val="00D90221"/>
    <w:rsid w:val="00D90680"/>
    <w:rsid w:val="00D90A86"/>
    <w:rsid w:val="00D91034"/>
    <w:rsid w:val="00D9108E"/>
    <w:rsid w:val="00D913B9"/>
    <w:rsid w:val="00D9344B"/>
    <w:rsid w:val="00D93F06"/>
    <w:rsid w:val="00D9642B"/>
    <w:rsid w:val="00DA2058"/>
    <w:rsid w:val="00DA230C"/>
    <w:rsid w:val="00DA2641"/>
    <w:rsid w:val="00DA50DB"/>
    <w:rsid w:val="00DA515C"/>
    <w:rsid w:val="00DA626A"/>
    <w:rsid w:val="00DA66A6"/>
    <w:rsid w:val="00DB2364"/>
    <w:rsid w:val="00DC3435"/>
    <w:rsid w:val="00DC556B"/>
    <w:rsid w:val="00DC55F5"/>
    <w:rsid w:val="00DC7A73"/>
    <w:rsid w:val="00DD020A"/>
    <w:rsid w:val="00DD2866"/>
    <w:rsid w:val="00DD2B2C"/>
    <w:rsid w:val="00DD2E97"/>
    <w:rsid w:val="00DD620B"/>
    <w:rsid w:val="00DD6DF9"/>
    <w:rsid w:val="00DD7BBD"/>
    <w:rsid w:val="00DE02B2"/>
    <w:rsid w:val="00DE049C"/>
    <w:rsid w:val="00DE1D1E"/>
    <w:rsid w:val="00DE5664"/>
    <w:rsid w:val="00DE66FB"/>
    <w:rsid w:val="00DE6BBB"/>
    <w:rsid w:val="00DF3BE8"/>
    <w:rsid w:val="00DF4FE3"/>
    <w:rsid w:val="00E0133A"/>
    <w:rsid w:val="00E05384"/>
    <w:rsid w:val="00E077CA"/>
    <w:rsid w:val="00E115B8"/>
    <w:rsid w:val="00E168F9"/>
    <w:rsid w:val="00E16D6B"/>
    <w:rsid w:val="00E1795A"/>
    <w:rsid w:val="00E22378"/>
    <w:rsid w:val="00E223C7"/>
    <w:rsid w:val="00E2343D"/>
    <w:rsid w:val="00E24231"/>
    <w:rsid w:val="00E245D6"/>
    <w:rsid w:val="00E30134"/>
    <w:rsid w:val="00E309EE"/>
    <w:rsid w:val="00E30B69"/>
    <w:rsid w:val="00E30C9F"/>
    <w:rsid w:val="00E32FA5"/>
    <w:rsid w:val="00E3749D"/>
    <w:rsid w:val="00E4270A"/>
    <w:rsid w:val="00E42B06"/>
    <w:rsid w:val="00E549B9"/>
    <w:rsid w:val="00E604FC"/>
    <w:rsid w:val="00E61AF0"/>
    <w:rsid w:val="00E64350"/>
    <w:rsid w:val="00E6497E"/>
    <w:rsid w:val="00E66AC3"/>
    <w:rsid w:val="00E7043E"/>
    <w:rsid w:val="00E71184"/>
    <w:rsid w:val="00E717CA"/>
    <w:rsid w:val="00E737E7"/>
    <w:rsid w:val="00E76F95"/>
    <w:rsid w:val="00E77502"/>
    <w:rsid w:val="00E81A08"/>
    <w:rsid w:val="00E825E6"/>
    <w:rsid w:val="00E8556E"/>
    <w:rsid w:val="00E855A4"/>
    <w:rsid w:val="00E86DA8"/>
    <w:rsid w:val="00E87738"/>
    <w:rsid w:val="00E915BE"/>
    <w:rsid w:val="00E93B34"/>
    <w:rsid w:val="00E946FB"/>
    <w:rsid w:val="00EA0146"/>
    <w:rsid w:val="00EA2751"/>
    <w:rsid w:val="00EA4EF2"/>
    <w:rsid w:val="00EA7C27"/>
    <w:rsid w:val="00EB582D"/>
    <w:rsid w:val="00EC037A"/>
    <w:rsid w:val="00EC33E3"/>
    <w:rsid w:val="00EC3C05"/>
    <w:rsid w:val="00EC5301"/>
    <w:rsid w:val="00ED38E7"/>
    <w:rsid w:val="00ED5043"/>
    <w:rsid w:val="00ED57B9"/>
    <w:rsid w:val="00ED685B"/>
    <w:rsid w:val="00ED6C51"/>
    <w:rsid w:val="00EE14F0"/>
    <w:rsid w:val="00EE18B9"/>
    <w:rsid w:val="00EE2D2A"/>
    <w:rsid w:val="00EE664F"/>
    <w:rsid w:val="00EE7170"/>
    <w:rsid w:val="00EE7227"/>
    <w:rsid w:val="00EE7D1C"/>
    <w:rsid w:val="00EF07C7"/>
    <w:rsid w:val="00EF18C5"/>
    <w:rsid w:val="00EF3399"/>
    <w:rsid w:val="00F0064F"/>
    <w:rsid w:val="00F01D4B"/>
    <w:rsid w:val="00F027C4"/>
    <w:rsid w:val="00F03755"/>
    <w:rsid w:val="00F0519F"/>
    <w:rsid w:val="00F05871"/>
    <w:rsid w:val="00F05C72"/>
    <w:rsid w:val="00F07433"/>
    <w:rsid w:val="00F07859"/>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6183C"/>
    <w:rsid w:val="00F622AA"/>
    <w:rsid w:val="00F71AE1"/>
    <w:rsid w:val="00F72202"/>
    <w:rsid w:val="00F726EC"/>
    <w:rsid w:val="00F73A57"/>
    <w:rsid w:val="00F744A1"/>
    <w:rsid w:val="00F75553"/>
    <w:rsid w:val="00F75D16"/>
    <w:rsid w:val="00F75F43"/>
    <w:rsid w:val="00F76A34"/>
    <w:rsid w:val="00F772AD"/>
    <w:rsid w:val="00F77683"/>
    <w:rsid w:val="00F81E2A"/>
    <w:rsid w:val="00F86366"/>
    <w:rsid w:val="00F9038D"/>
    <w:rsid w:val="00F91583"/>
    <w:rsid w:val="00F918E8"/>
    <w:rsid w:val="00F9340F"/>
    <w:rsid w:val="00F93748"/>
    <w:rsid w:val="00F93A55"/>
    <w:rsid w:val="00F95DD6"/>
    <w:rsid w:val="00F96F63"/>
    <w:rsid w:val="00FA239A"/>
    <w:rsid w:val="00FA5D78"/>
    <w:rsid w:val="00FB067B"/>
    <w:rsid w:val="00FB12BE"/>
    <w:rsid w:val="00FB1512"/>
    <w:rsid w:val="00FC00C6"/>
    <w:rsid w:val="00FC40B7"/>
    <w:rsid w:val="00FC41D6"/>
    <w:rsid w:val="00FC4C03"/>
    <w:rsid w:val="00FC5A6E"/>
    <w:rsid w:val="00FC6DDE"/>
    <w:rsid w:val="00FC6FF9"/>
    <w:rsid w:val="00FD0235"/>
    <w:rsid w:val="00FD0421"/>
    <w:rsid w:val="00FD526C"/>
    <w:rsid w:val="00FD5331"/>
    <w:rsid w:val="00FE2820"/>
    <w:rsid w:val="00FE2EC9"/>
    <w:rsid w:val="00FE490C"/>
    <w:rsid w:val="00FE557D"/>
    <w:rsid w:val="00FE59D9"/>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9D6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 w:qFormat="1"/>
    <w:lsdException w:name="annotation reference" w:uiPriority="0"/>
    <w:lsdException w:name="Title" w:semiHidden="0" w:uiPriority="10" w:unhideWhenUsed="0"/>
    <w:lsdException w:name="Default Paragraph Font" w:uiPriority="1"/>
    <w:lsdException w:name="Body Tex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3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latentStyles>
  <w:style w:type="paragraph" w:default="1" w:styleId="Normal">
    <w:name w:val="Normal"/>
    <w:uiPriority w:val="4"/>
    <w:qFormat/>
    <w:rsid w:val="00B56979"/>
    <w:pPr>
      <w:spacing w:before="120" w:after="120" w:line="240" w:lineRule="auto"/>
    </w:pPr>
    <w:rPr>
      <w:rFonts w:ascii="Times New Roman" w:hAnsi="Times New Roman" w:eastAsia="Times New Roman"/>
      <w:sz w:val="24"/>
    </w:rPr>
  </w:style>
  <w:style w:type="paragraph" w:styleId="Heading1">
    <w:name w:val="heading 1"/>
    <w:aliases w:val="Chương"/>
    <w:basedOn w:val="Normal"/>
    <w:link w:val="Heading1Char"/>
    <w:uiPriority w:val="9"/>
    <w:qFormat/>
    <w:rsid w:val="00B56979"/>
    <w:pPr>
      <w:numPr>
        <w:numId w:val="19"/>
      </w:numPr>
      <w:spacing w:line="360" w:lineRule="auto"/>
      <w:outlineLvl w:val="0"/>
    </w:pPr>
    <w:rPr>
      <w:rFonts w:ascii="Times New Roman" w:hAnsi="Times New Roman" w:eastAsia="Times New Roman"/>
      <w:b/>
      <w:sz w:val="28"/>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19"/>
      </w:numPr>
      <w:spacing w:line="360" w:lineRule="auto"/>
      <w:outlineLvl w:val="1"/>
    </w:pPr>
    <w:rPr>
      <w:rFonts w:ascii="Times New Roman" w:hAnsi="Times New Roman" w:eastAsia="Times New Roman"/>
      <w:b/>
      <w:noProof/>
      <w:sz w:val="24"/>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19"/>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19"/>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19"/>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19"/>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19"/>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1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1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uiPriority w:val="9"/>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rFonts w:eastAsia="Times New Roman" w:cs="Times New Roman"/>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rFonts w:ascii="Times New Roman" w:hAnsi="Times New Roman" w:eastAsia="Times New Roman"/>
      <w:bCs/>
      <w:i/>
      <w:sz w:val="20"/>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rFonts w:ascii="Times New Roman" w:hAnsi="Times New Roman" w:eastAsia="Times New Roman"/>
      <w:sz w:val="24"/>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szCs w:val="24"/>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szCs w:val="24"/>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szCs w:val="24"/>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customStyle="1" w:styleId="UnresolvedMention">
    <w:name w:val="Unresolved Mention"/>
    <w:basedOn w:val="DefaultParagraphFont"/>
    <w:uiPriority w:val="99"/>
    <w:semiHidden/>
    <w:unhideWhenUsed/>
    <w:rsid w:val="00F772AD"/>
    <w:rPr>
      <w:color w:val="605E5C"/>
      <w:shd w:val="clear" w:color="auto" w:fill="E1DFDD"/>
    </w:rPr>
  </w:style>
  <w:style w:type="paragraph" w:customStyle="1" w:styleId="ResearchHeading1">
    <w:name w:val="Research Heading 1"/>
    <w:basedOn w:val="Normal"/>
    <w:rPr>
      <w:rFonts w:ascii="Times New Roman" w:hAnsi="Times New Roman" w:eastAsia="Times New Roman"/>
      <w:b/>
      <w:sz w:val="28"/>
    </w:rPr>
  </w:style>
  <w:style w:type="paragraph" w:customStyle="1" w:styleId="ResearchHeading2">
    <w:name w:val="Research Heading 2"/>
    <w:basedOn w:val="Normal"/>
    <w:rPr>
      <w:rFonts w:ascii="Times New Roman" w:hAnsi="Times New Roman" w:eastAsia="Times New Roman"/>
      <w:b/>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 w:qFormat="1"/>
    <w:lsdException w:name="annotation reference" w:uiPriority="0"/>
    <w:lsdException w:name="Title" w:semiHidden="0" w:uiPriority="10" w:unhideWhenUsed="0"/>
    <w:lsdException w:name="Default Paragraph Font" w:uiPriority="1"/>
    <w:lsdException w:name="Body Tex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3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latentStyles>
  <w:style w:type="paragraph" w:default="1" w:styleId="Normal">
    <w:name w:val="Normal"/>
    <w:uiPriority w:val="4"/>
    <w:qFormat/>
    <w:rsid w:val="00B56979"/>
    <w:pPr>
      <w:spacing w:before="120" w:after="120" w:line="240" w:lineRule="auto"/>
    </w:pPr>
  </w:style>
  <w:style w:type="paragraph" w:styleId="Heading1">
    <w:name w:val="heading 1"/>
    <w:aliases w:val="Chương"/>
    <w:basedOn w:val="Normal"/>
    <w:link w:val="Heading1Char"/>
    <w:uiPriority w:val="9"/>
    <w:qFormat/>
    <w:rsid w:val="00B56979"/>
    <w:pPr>
      <w:numPr>
        <w:numId w:val="19"/>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19"/>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19"/>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19"/>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19"/>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19"/>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19"/>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19"/>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19"/>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uiPriority w:val="9"/>
    <w:rsid w:val="00B56979"/>
    <w:rPr>
      <w:b/>
      <w:sz w:val="32"/>
      <w:szCs w:val="32"/>
      <w:lang w:val="vi-VN"/>
    </w:rPr>
  </w:style>
  <w:style w:type="paragraph" w:styleId="TOC1">
    <w:name w:val="toc 1"/>
    <w:basedOn w:val="Normal"/>
    <w:next w:val="Normal"/>
    <w:autoRedefine/>
    <w:uiPriority w:val="39"/>
    <w:unhideWhenUsed/>
    <w:rsid w:val="00F772AD"/>
    <w:pPr>
      <w:tabs>
        <w:tab w:val="left" w:pos="1560"/>
        <w:tab w:val="right" w:leader="dot" w:pos="9111"/>
      </w:tabs>
      <w:spacing w:line="360" w:lineRule="auto"/>
    </w:pPr>
    <w:rPr>
      <w:b/>
      <w:sz w:val="26"/>
    </w:rPr>
  </w:style>
  <w:style w:type="paragraph" w:styleId="TOC2">
    <w:name w:val="toc 2"/>
    <w:basedOn w:val="Normal"/>
    <w:next w:val="Normal"/>
    <w:autoRedefine/>
    <w:uiPriority w:val="39"/>
    <w:unhideWhenUsed/>
    <w:rsid w:val="00F772AD"/>
    <w:pPr>
      <w:tabs>
        <w:tab w:val="left" w:pos="567"/>
        <w:tab w:val="right" w:leader="dot" w:pos="9111"/>
      </w:tabs>
      <w:spacing w:line="360" w:lineRule="auto"/>
    </w:pPr>
    <w:rPr>
      <w:sz w:val="26"/>
    </w:rPr>
  </w:style>
  <w:style w:type="paragraph" w:styleId="TOC3">
    <w:name w:val="toc 3"/>
    <w:basedOn w:val="Normal"/>
    <w:next w:val="Normal"/>
    <w:autoRedefine/>
    <w:uiPriority w:val="39"/>
    <w:unhideWhenUsed/>
    <w:rsid w:val="00F772AD"/>
    <w:pPr>
      <w:tabs>
        <w:tab w:val="left" w:pos="993"/>
        <w:tab w:val="right" w:leader="dot" w:pos="9111"/>
      </w:tabs>
      <w:spacing w:line="360" w:lineRule="auto"/>
      <w:ind w:left="142"/>
    </w:pPr>
    <w:rPr>
      <w:i/>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aliases w:val="Tiểu mục cấp 1 Char"/>
    <w:basedOn w:val="DefaultParagraphFont"/>
    <w:link w:val="Heading2"/>
    <w:uiPriority w:val="1"/>
    <w:rsid w:val="00B56979"/>
    <w:rPr>
      <w:rFonts w:eastAsia="Times New Roman" w:cs="Times New Roman"/>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szCs w:val="24"/>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szCs w:val="24"/>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szCs w:val="24"/>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100" w:line="259" w:lineRule="auto"/>
      <w:ind w:left="880"/>
    </w:pPr>
    <w:rPr>
      <w:rFonts w:asciiTheme="minorHAnsi" w:eastAsiaTheme="minorEastAsia" w:hAnsiTheme="minorHAnsi"/>
      <w:sz w:val="22"/>
      <w:szCs w:val="22"/>
    </w:rPr>
  </w:style>
  <w:style w:type="paragraph" w:styleId="TOC6">
    <w:name w:val="toc 6"/>
    <w:basedOn w:val="Normal"/>
    <w:next w:val="Normal"/>
    <w:autoRedefine/>
    <w:uiPriority w:val="39"/>
    <w:unhideWhenUsed/>
    <w:rsid w:val="00F772AD"/>
    <w:pPr>
      <w:spacing w:before="0" w:after="100" w:line="259" w:lineRule="auto"/>
      <w:ind w:left="1100"/>
    </w:pPr>
    <w:rPr>
      <w:rFonts w:asciiTheme="minorHAnsi" w:eastAsiaTheme="minorEastAsia" w:hAnsiTheme="minorHAnsi"/>
      <w:sz w:val="22"/>
      <w:szCs w:val="22"/>
    </w:rPr>
  </w:style>
  <w:style w:type="paragraph" w:styleId="TOC7">
    <w:name w:val="toc 7"/>
    <w:basedOn w:val="Normal"/>
    <w:next w:val="Normal"/>
    <w:autoRedefine/>
    <w:uiPriority w:val="39"/>
    <w:unhideWhenUsed/>
    <w:rsid w:val="00F772AD"/>
    <w:pPr>
      <w:spacing w:before="0" w:after="100" w:line="259" w:lineRule="auto"/>
      <w:ind w:left="1320"/>
    </w:pPr>
    <w:rPr>
      <w:rFonts w:asciiTheme="minorHAnsi" w:eastAsiaTheme="minorEastAsia" w:hAnsiTheme="minorHAnsi"/>
      <w:sz w:val="22"/>
      <w:szCs w:val="22"/>
    </w:rPr>
  </w:style>
  <w:style w:type="paragraph" w:styleId="TOC8">
    <w:name w:val="toc 8"/>
    <w:basedOn w:val="Normal"/>
    <w:next w:val="Normal"/>
    <w:autoRedefine/>
    <w:uiPriority w:val="39"/>
    <w:unhideWhenUsed/>
    <w:rsid w:val="00F772AD"/>
    <w:pPr>
      <w:spacing w:before="0" w:after="100" w:line="259" w:lineRule="auto"/>
      <w:ind w:left="1540"/>
    </w:pPr>
    <w:rPr>
      <w:rFonts w:asciiTheme="minorHAnsi" w:eastAsiaTheme="minorEastAsia" w:hAnsiTheme="minorHAnsi"/>
      <w:sz w:val="22"/>
      <w:szCs w:val="22"/>
    </w:rPr>
  </w:style>
  <w:style w:type="paragraph" w:styleId="TOC9">
    <w:name w:val="toc 9"/>
    <w:basedOn w:val="Normal"/>
    <w:next w:val="Normal"/>
    <w:autoRedefine/>
    <w:uiPriority w:val="39"/>
    <w:unhideWhenUsed/>
    <w:rsid w:val="00F772AD"/>
    <w:pPr>
      <w:spacing w:before="0" w:after="100" w:line="259" w:lineRule="auto"/>
      <w:ind w:left="1760"/>
    </w:pPr>
    <w:rPr>
      <w:rFonts w:asciiTheme="minorHAnsi" w:eastAsiaTheme="minorEastAsia" w:hAnsiTheme="minorHAnsi"/>
      <w:sz w:val="22"/>
      <w:szCs w:val="22"/>
    </w:rPr>
  </w:style>
  <w:style w:type="character" w:customStyle="1" w:styleId="UnresolvedMention">
    <w:name w:val="Unresolved Mention"/>
    <w:basedOn w:val="DefaultParagraphFont"/>
    <w:uiPriority w:val="99"/>
    <w:semiHidden/>
    <w:unhideWhenUsed/>
    <w:rsid w:val="00F772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28190995">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1511315">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7284739">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1331576">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3082708">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1615282">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3735550">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5754752">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5699545">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348712">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2141328">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2998670">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239771">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069975">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4678841">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1055156">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498351503">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1202124">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2127891">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39098343">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108081">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microsoft.com/office/2011/relationships/commentsExtended" Target="commentsExtended.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3.xml"/><Relationship Id="rId17" Type="http://schemas.microsoft.com/office/2016/09/relationships/commentsIds" Target="commentsIds.xml"/><Relationship Id="rId2" Type="http://schemas.openxmlformats.org/officeDocument/2006/relationships/numbering" Target="numbering.xml"/><Relationship Id="rId16"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31" Type="http://schemas.microsoft.com/office/2011/relationships/people" Target="peop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2" Type="http://schemas.openxmlformats.org/officeDocument/2006/relationships/image" Target="media/image1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ownloads\TemplateCacMonDuAnVaThucTap_KhoaCNT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Jas21</b:Tag>
    <b:SourceType>DocumentFromInternetSite</b:SourceType>
    <b:Guid>{168681DD-03AB-47C1-81C2-F9FA482C1E2E}</b:Guid>
    <b:Title>MERN Stack</b:Title>
    <b:InternetSiteTitle>geeksforgeeks.org</b:InternetSiteTitle>
    <b:Year>2021</b:Year>
    <b:Month>Oct</b:Month>
    <b:Day>07</b:Day>
    <b:URL>https://www.geeksforgeeks.org/mern-stack/</b:URL>
    <b:LCID>en-US</b:LCID>
    <b:Author>
      <b:Author>
        <b:NameList>
          <b:Person>
            <b:Last>Jasraj</b:Last>
          </b:Person>
        </b:NameList>
      </b:Author>
    </b:Author>
    <b:RefOrder>1</b:RefOrder>
  </b:Source>
  <b:Source>
    <b:Tag>Kum21</b:Tag>
    <b:SourceType>DocumentFromInternetSite</b:SourceType>
    <b:Guid>{C6B6286A-4A91-4DF9-9CEB-29F2862C04F1}</b:Guid>
    <b:LCID>en-US</b:LCID>
    <b:Author>
      <b:Author>
        <b:NameList>
          <b:Person>
            <b:Last>Shubham</b:Last>
            <b:First>Kumar</b:First>
          </b:Person>
        </b:NameList>
      </b:Author>
    </b:Author>
    <b:Title>Build an E-Commerce website with MERN Stack </b:Title>
    <b:InternetSiteTitle>dev.to</b:InternetSiteTitle>
    <b:Year>2021</b:Year>
    <b:Month>January</b:Month>
    <b:Day>23</b:Day>
    <b:URL>https://dev.to/shubham1710/build-an-e-commerce-website-with-mern-stack-part-1-setting-up-the-project-1l2d</b:URL>
    <b:RefOrder>2</b:RefOrder>
  </b:Source>
  <b:Source>
    <b:Tag>Sha20</b:Tag>
    <b:SourceType>Book</b:SourceType>
    <b:Guid>{023F80C9-3541-4D7C-A143-FF15D670109F}</b:Guid>
    <b:Title>Full-Stack React Projects: Learn MERN stack development by building modern web apps using MongoDB, Express, React, and Node.js, 2nd Edition</b:Title>
    <b:Year>2020</b:Year>
    <b:LCID>en-US</b:LCID>
    <b:Author>
      <b:Author>
        <b:NameList>
          <b:Person>
            <b:Last>Hoque</b:Last>
            <b:First>Shama</b:First>
          </b:Person>
        </b:NameList>
      </b:Author>
    </b:Author>
    <b:City>America</b:City>
    <b:Publisher>Packt Publishing</b:Publisher>
    <b:RefOrder>3</b:RefOrder>
  </b:Source>
  <b:Source>
    <b:Tag>raa21</b:Tag>
    <b:SourceType>InternetSite</b:SourceType>
    <b:Guid>{73BDA48B-8F81-4854-9A17-CB9FE3ACE955}</b:Guid>
    <b:Author>
      <b:Author>
        <b:NameList>
          <b:Person>
            <b:Last>raam</b:Last>
            <b:First>Mithun</b:First>
          </b:Person>
        </b:NameList>
      </b:Author>
    </b:Author>
    <b:Title>Book Store - MERN_STACK</b:Title>
    <b:Year>2021</b:Year>
    <b:Month>August</b:Month>
    <b:Day>31</b:Day>
    <b:LCID>en-US</b:LCID>
    <b:InternetSiteTitle>github.com</b:InternetSiteTitle>
    <b:URL>https://github.com/mithunraam99/Book-Store-MERN_STACK</b:URL>
    <b:RefOrder>4</b:RefOrder>
  </b:Source>
  <b:Source>
    <b:Tag>Nis18</b:Tag>
    <b:SourceType>InternetSite</b:SourceType>
    <b:Guid>{C6AD3428-9D75-4BDE-AADA-A61315636F28}</b:Guid>
    <b:Author>
      <b:Author>
        <b:NameList>
          <b:Person>
            <b:Last>Sabharwal</b:Last>
            <b:First>Nishant</b:First>
          </b:Person>
        </b:NameList>
      </b:Author>
    </b:Author>
    <b:Title>Web Application using MERN Stack</b:Title>
    <b:InternetSiteTitle>medium.com</b:InternetSiteTitle>
    <b:Year>2018</b:Year>
    <b:Month>August</b:Month>
    <b:Day>24</b:Day>
    <b:URL>https://medium.com/@nishantsabharwal13/responsive-e-commerce-pwa-using-mern-stack-part-1-cc21ed0666eb</b:URL>
    <b:RefOrder>5</b:RefOrder>
  </b:Source>
  <b:Source>
    <b:Tag>Aka23</b:Tag>
    <b:SourceType>Book</b:SourceType>
    <b:Guid>{3A225C9F-0846-4EC9-8CFE-036423AAD170}</b:Guid>
    <b:Author>
      <b:Author>
        <b:Corporate>Akarsh Shrivas, Aniket Pawar, Pratham Mishra, Satish Chadokar</b:Corporate>
      </b:Author>
    </b:Author>
    <b:Title>E-commerce Website using MERN Stack-  IJIRMPS Volume 11, Issue 3</b:Title>
    <b:Year>2023</b:Year>
    <b:Publisher>IJRASET</b:Publisher>
    <b:LCID>en-US</b:LCID>
    <b:RefOrder>6</b:RefOrder>
  </b:Source>
</b:Sources>
</file>

<file path=customXml/itemProps1.xml><?xml version="1.0" encoding="utf-8"?>
<ds:datastoreItem xmlns:ds="http://schemas.openxmlformats.org/officeDocument/2006/customXml" ds:itemID="{A7940987-C041-496B-86CD-375A2BC80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TemplateCacMonDuAnVaThucTap_KhoaCNTT.dotx</Template>
  <TotalTime>903</TotalTime>
  <Pages>16</Pages>
  <Words>834</Words>
  <Characters>4759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Sinh Tran</cp:lastModifiedBy>
  <cp:revision>71</cp:revision>
  <cp:lastPrinted>2021-05-03T07:17:00Z</cp:lastPrinted>
  <dcterms:created xsi:type="dcterms:W3CDTF">2023-08-23T05:35:00Z</dcterms:created>
  <dcterms:modified xsi:type="dcterms:W3CDTF">2023-11-28T09:10:00Z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