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6464"/>
          <w:sz w:val="18"/>
        </w:rPr>
        <w:t>TRƯỜNG ĐẠI HỌC FPT — BỘ MÔN KỸ THUẬT PHẦN MỀM / KHOA HỌC DỮ LIỆU</w:t>
        <w:br/>
        <w:t>CHƯƠNG TRÌNH NGHIÊN CỨU KHOA HỌC DỰA TRÊN THỰC TIỄN (RBL)</w:t>
      </w:r>
    </w:p>
    <w:p>
      <w:pPr>
        <w:spacing w:before="80" w:after="40"/>
        <w:jc w:val="center"/>
      </w:pPr>
      <w:r>
        <w:rPr>
          <w:rFonts w:ascii="Arial" w:hAnsi="Arial"/>
          <w:b/>
          <w:color w:val="0F2A4A"/>
          <w:sz w:val="31"/>
        </w:rPr>
        <w:t>BÁO CÁO CHUYÊN ĐỀ &amp; ĐÁNH GIÁ TÁC ĐỘNG:</w:t>
        <w:br/>
        <w:t>NÂNG CẤP KIẾN TRÚC TẦNG 2 SANG HỘI ĐỒNG PHÁP Y ĐA TÁC TỬ (5-AGENT FORENSIC COUNCIL)</w:t>
      </w:r>
    </w:p>
    <w:p>
      <w:pPr>
        <w:spacing w:before="0" w:after="160"/>
        <w:jc w:val="center"/>
      </w:pPr>
      <w:r>
        <w:rPr>
          <w:rFonts w:ascii="Arial" w:hAnsi="Arial"/>
          <w:i/>
          <w:color w:val="1A5276"/>
          <w:sz w:val="21"/>
        </w:rPr>
        <w:t>Triệt Tiêu Hội Chứng Alarm Fatigue, Vô Hiệu Hóa Thiên Kiến Đơn Lẻ &amp; Tuân Thủ Tuyệt Đối Nguyên Tắc Liêm Chính No-HARKing Trong Đề Tài ScamShield-VN</w:t>
      </w:r>
    </w:p>
    <w:tbl>
      <w:tblPr>
        <w:tblW w:type="auto" w:w="0"/>
        <w:jc w:val="center"/>
        <w:tblLook w:firstColumn="1" w:firstRow="1" w:lastColumn="0" w:lastRow="0" w:noHBand="0" w:noVBand="1" w:val="04A0"/>
      </w:tblPr>
      <w:tblGrid>
        <w:gridCol w:w="4816"/>
        <w:gridCol w:w="4816"/>
      </w:tblGrid>
      <w:tr>
        <w:tc>
          <w:tcPr>
            <w:tcW w:type="dxa" w:w="2880"/>
            <w:shd w:fill="F2F4F4"/>
            <w:tcMar>
              <w:top w:w="40" w:type="dxa"/>
              <w:bottom w:w="40" w:type="dxa"/>
              <w:left w:w="80" w:type="dxa"/>
              <w:right w:w="80" w:type="dxa"/>
            </w:tcMar>
          </w:tcPr>
          <w:p>
            <w:r>
              <w:rPr>
                <w:rFonts w:ascii="Arial" w:hAnsi="Arial"/>
                <w:b/>
                <w:sz w:val="17"/>
              </w:rPr>
              <w:t>Đề tài nghiên cứu:</w:t>
            </w:r>
          </w:p>
        </w:tc>
        <w:tc>
          <w:tcPr>
            <w:tcW w:type="dxa" w:w="6754"/>
            <w:shd w:fill="FAFAFA"/>
            <w:tcMar>
              <w:top w:w="40" w:type="dxa"/>
              <w:bottom w:w="40" w:type="dxa"/>
              <w:left w:w="80" w:type="dxa"/>
              <w:right w:w="80" w:type="dxa"/>
            </w:tcMar>
          </w:tcPr>
          <w:p>
            <w:r>
              <w:rPr>
                <w:rFonts w:ascii="Arial" w:hAnsi="Arial"/>
                <w:sz w:val="17"/>
              </w:rPr>
              <w:t>ScamShield-VN: Nền tảng Nhận diện và Cảnh báo Tin nhắn Lừa đảo Tiếng Việt</w:t>
            </w:r>
          </w:p>
        </w:tc>
      </w:tr>
      <w:tr>
        <w:tc>
          <w:tcPr>
            <w:tcW w:type="dxa" w:w="2880"/>
            <w:shd w:fill="F2F4F4"/>
            <w:tcMar>
              <w:top w:w="40" w:type="dxa"/>
              <w:bottom w:w="40" w:type="dxa"/>
              <w:left w:w="80" w:type="dxa"/>
              <w:right w:w="80" w:type="dxa"/>
            </w:tcMar>
          </w:tcPr>
          <w:p>
            <w:r>
              <w:rPr>
                <w:rFonts w:ascii="Arial" w:hAnsi="Arial"/>
                <w:b/>
                <w:sz w:val="17"/>
              </w:rPr>
              <w:t>Mã đề tài &amp; Phiên bản:</w:t>
            </w:r>
          </w:p>
        </w:tc>
        <w:tc>
          <w:tcPr>
            <w:tcW w:type="dxa" w:w="6754"/>
            <w:shd w:fill="FAFAFA"/>
            <w:tcMar>
              <w:top w:w="40" w:type="dxa"/>
              <w:bottom w:w="40" w:type="dxa"/>
              <w:left w:w="80" w:type="dxa"/>
              <w:right w:w="80" w:type="dxa"/>
            </w:tcMar>
          </w:tcPr>
          <w:p>
            <w:r>
              <w:rPr>
                <w:rFonts w:ascii="Arial" w:hAnsi="Arial"/>
                <w:sz w:val="17"/>
              </w:rPr>
              <w:t>RT-ScamShield-Nhom1 | Proposal Amendment Version: 1.1</w:t>
            </w:r>
          </w:p>
        </w:tc>
      </w:tr>
      <w:tr>
        <w:tc>
          <w:tcPr>
            <w:tcW w:type="dxa" w:w="2880"/>
            <w:shd w:fill="F2F4F4"/>
            <w:tcMar>
              <w:top w:w="40" w:type="dxa"/>
              <w:bottom w:w="40" w:type="dxa"/>
              <w:left w:w="80" w:type="dxa"/>
              <w:right w:w="80" w:type="dxa"/>
            </w:tcMar>
          </w:tcPr>
          <w:p>
            <w:r>
              <w:rPr>
                <w:rFonts w:ascii="Arial" w:hAnsi="Arial"/>
                <w:b/>
                <w:sz w:val="17"/>
              </w:rPr>
              <w:t>Nhóm thực hiện:</w:t>
            </w:r>
          </w:p>
        </w:tc>
        <w:tc>
          <w:tcPr>
            <w:tcW w:type="dxa" w:w="6754"/>
            <w:shd w:fill="FAFAFA"/>
            <w:tcMar>
              <w:top w:w="40" w:type="dxa"/>
              <w:bottom w:w="40" w:type="dxa"/>
              <w:left w:w="80" w:type="dxa"/>
              <w:right w:w="80" w:type="dxa"/>
            </w:tcMar>
          </w:tcPr>
          <w:p>
            <w:r>
              <w:rPr>
                <w:rFonts w:ascii="Arial" w:hAnsi="Arial"/>
                <w:sz w:val="17"/>
              </w:rPr>
              <w:t>Nhóm 1 (Nguyễn Trung Hiếu, Lê Quốc Huy, Hoàng Hải Phúc, Phan Trần Hoàng Trân, Nguyễn Minh Quang)</w:t>
            </w:r>
          </w:p>
        </w:tc>
      </w:tr>
      <w:tr>
        <w:tc>
          <w:tcPr>
            <w:tcW w:type="dxa" w:w="2880"/>
            <w:shd w:fill="F2F4F4"/>
            <w:tcMar>
              <w:top w:w="40" w:type="dxa"/>
              <w:bottom w:w="40" w:type="dxa"/>
              <w:left w:w="80" w:type="dxa"/>
              <w:right w:w="80" w:type="dxa"/>
            </w:tcMar>
          </w:tcPr>
          <w:p>
            <w:r>
              <w:rPr>
                <w:rFonts w:ascii="Arial" w:hAnsi="Arial"/>
                <w:b/>
                <w:sz w:val="17"/>
              </w:rPr>
              <w:t>Giảng viên Hướng dẫn:</w:t>
            </w:r>
          </w:p>
        </w:tc>
        <w:tc>
          <w:tcPr>
            <w:tcW w:type="dxa" w:w="6754"/>
            <w:shd w:fill="FAFAFA"/>
            <w:tcMar>
              <w:top w:w="40" w:type="dxa"/>
              <w:bottom w:w="40" w:type="dxa"/>
              <w:left w:w="80" w:type="dxa"/>
              <w:right w:w="80" w:type="dxa"/>
            </w:tcMar>
          </w:tcPr>
          <w:p>
            <w:r>
              <w:rPr>
                <w:rFonts w:ascii="Arial" w:hAnsi="Arial"/>
                <w:sz w:val="17"/>
              </w:rPr>
              <w:t>ThS. L.T.Q.Chi | Ngày phê chuẩn: 02/10/2026</w:t>
            </w:r>
          </w:p>
        </w:tc>
      </w:tr>
    </w:tbl>
    <w:p>
      <w:pPr>
        <w:spacing w:after="80"/>
      </w:pPr>
    </w:p>
    <w:tbl>
      <w:tblPr>
        <w:tblW w:type="auto" w:w="0"/>
        <w:jc w:val="center"/>
        <w:tblLook w:firstColumn="1" w:firstRow="1" w:lastColumn="0" w:lastRow="0" w:noHBand="0" w:noVBand="1" w:val="04A0"/>
      </w:tblPr>
      <w:tblGrid>
        <w:gridCol w:w="9633"/>
      </w:tblGrid>
      <w:tr>
        <w:tc>
          <w:tcPr>
            <w:tcW w:type="dxa" w:w="9634"/>
            <w:shd w:fill="EBF5FB"/>
            <w:tcMar>
              <w:top w:w="80" w:type="dxa"/>
              <w:bottom w:w="80" w:type="dxa"/>
              <w:left w:w="140" w:type="dxa"/>
              <w:right w:w="140" w:type="dxa"/>
            </w:tcMar>
            <w:tcBorders>
              <w:left w:val="single" w:sz="24" w:space="0" w:color="1A5276"/>
              <w:top w:val="none"/>
              <w:right w:val="none"/>
              <w:bottom w:val="none"/>
            </w:tcBorders>
          </w:tcPr>
          <w:p>
            <w:pPr>
              <w:spacing w:before="0" w:after="40" w:line="269" w:lineRule="auto"/>
            </w:pPr>
            <w:r>
              <w:rPr>
                <w:rFonts w:ascii="Arial" w:hAnsi="Arial"/>
                <w:b/>
                <w:color w:val="0F2A4A"/>
                <w:sz w:val="19"/>
              </w:rPr>
              <w:t>📌 TÓM TẮT ĐIỀU HÀNH (EXECUTIVE SUMMARY)</w:t>
              <w:br/>
            </w:r>
            <w:r>
              <w:rPr>
                <w:rFonts w:ascii="Arial" w:hAnsi="Arial"/>
                <w:color w:val="232323"/>
                <w:sz w:val="18"/>
              </w:rPr>
              <w:t>Báo cáo này phân tích cơ sở khoa học, kiến trúc kỹ thuật và tác động phương pháp luận của việc nâng cấp Tầng 2 (Cloud Fallback) trong nền tảng ScamShield-VN từ mô hình đơn lẻ (Gemini 3.5 Flash) sang Hội đồng Pháp y 5 Tác tử (5-Agent Forensic Council). Thay đổi này xuất phát trực tiếp từ kết quả thực nghiệm khách quan của Phase 4, khi Baseline B3 bộc lộ hiện tượng Alarm Fatigue trầm trọng (Precision chỉ đạt 64.47%, báo động giả 35.53%). Văn bản được lập dưới dạng Proposal Amendment v1.1 theo đúng quy chuẩn RBL Master Guidelines nhằm bảo toàn 100% tính liêm chính học thuật và nguyên tắc No-HARKing.</w:t>
            </w:r>
          </w:p>
        </w:tc>
      </w:tr>
    </w:tbl>
    <w:p>
      <w:pPr>
        <w:spacing w:after="40"/>
      </w:pPr>
    </w:p>
    <w:p>
      <w:pPr>
        <w:keepNext/>
        <w:spacing w:before="260" w:after="80"/>
      </w:pPr>
      <w:r>
        <w:rPr>
          <w:rFonts w:ascii="Arial" w:hAnsi="Arial"/>
          <w:b/>
          <w:color w:val="0F2A4A"/>
          <w:sz w:val="25"/>
        </w:rPr>
        <w:t>1. Bối Cảnh, Chẩn Đoán Lỗi Từ Thực Nghiệm Baseline &amp; Động Cơ Thay Đổi</w:t>
      </w:r>
    </w:p>
    <w:p>
      <w:pPr>
        <w:spacing w:before="0" w:after="70" w:line="276" w:lineRule="auto"/>
      </w:pPr>
      <w:r>
        <w:rPr>
          <w:rFonts w:ascii="Arial" w:hAnsi="Arial"/>
          <w:b w:val="0"/>
          <w:i w:val="0"/>
          <w:color w:val="232323"/>
          <w:sz w:val="19"/>
        </w:rPr>
        <w:t>Trong khuôn khổ giai đoạn RBL-4 (Thực nghiệm Đối chứng), nhóm nghiên cứu đã triển khai đánh giá 5 mô hình trên cùng tập kiểm thử đóng băng Frozen Test Set (N=267 mẫu, gồm 192 Ham và 75 Scam) với 25 lượt chạy độc lập (5 Seeds cố định: 42, 100, 123, 999, 2026). Kết quả thu được giữa mô hình can thiệp đề xuất Tầng 1 (ViSoBERT + WBCE alpha=5.0) và mô hình Tầng 2 dự kiến ban đầu (Gemini 3.5 Flash - 5-shot ICL) như sau:</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2592"/>
            <w:shd w:fill="0F2A4A"/>
            <w:tcMar>
              <w:top w:w="60" w:type="dxa"/>
              <w:bottom w:w="60" w:type="dxa"/>
              <w:left w:w="80" w:type="dxa"/>
              <w:right w:w="80" w:type="dxa"/>
            </w:tcMar>
          </w:tcPr>
          <w:p>
            <w:r>
              <w:rPr>
                <w:rFonts w:ascii="Arial" w:hAnsi="Arial"/>
                <w:b/>
                <w:color w:val="FFFFFF"/>
                <w:sz w:val="17"/>
              </w:rPr>
              <w:t>Mô hình / Baseline</w:t>
            </w:r>
          </w:p>
        </w:tc>
        <w:tc>
          <w:tcPr>
            <w:tcW w:type="dxa" w:w="1584"/>
            <w:shd w:fill="0F2A4A"/>
            <w:tcMar>
              <w:top w:w="60" w:type="dxa"/>
              <w:bottom w:w="60" w:type="dxa"/>
              <w:left w:w="80" w:type="dxa"/>
              <w:right w:w="80" w:type="dxa"/>
            </w:tcMar>
          </w:tcPr>
          <w:p>
            <w:r>
              <w:rPr>
                <w:rFonts w:ascii="Arial" w:hAnsi="Arial"/>
                <w:b/>
                <w:color w:val="FFFFFF"/>
                <w:sz w:val="17"/>
              </w:rPr>
              <w:t>Kiến trúc</w:t>
            </w:r>
          </w:p>
        </w:tc>
        <w:tc>
          <w:tcPr>
            <w:tcW w:type="dxa" w:w="1440"/>
            <w:shd w:fill="0F2A4A"/>
            <w:tcMar>
              <w:top w:w="60" w:type="dxa"/>
              <w:bottom w:w="60" w:type="dxa"/>
              <w:left w:w="80" w:type="dxa"/>
              <w:right w:w="80" w:type="dxa"/>
            </w:tcMar>
          </w:tcPr>
          <w:p>
            <w:r>
              <w:rPr>
                <w:rFonts w:ascii="Arial" w:hAnsi="Arial"/>
                <w:b/>
                <w:color w:val="FFFFFF"/>
                <w:sz w:val="17"/>
              </w:rPr>
              <w:t>Scam Recall</w:t>
            </w:r>
          </w:p>
        </w:tc>
        <w:tc>
          <w:tcPr>
            <w:tcW w:type="dxa" w:w="1440"/>
            <w:shd w:fill="0F2A4A"/>
            <w:tcMar>
              <w:top w:w="60" w:type="dxa"/>
              <w:bottom w:w="60" w:type="dxa"/>
              <w:left w:w="80" w:type="dxa"/>
              <w:right w:w="80" w:type="dxa"/>
            </w:tcMar>
          </w:tcPr>
          <w:p>
            <w:r>
              <w:rPr>
                <w:rFonts w:ascii="Arial" w:hAnsi="Arial"/>
                <w:b/>
                <w:color w:val="FFFFFF"/>
                <w:sz w:val="17"/>
              </w:rPr>
              <w:t>Precision</w:t>
            </w:r>
          </w:p>
        </w:tc>
        <w:tc>
          <w:tcPr>
            <w:tcW w:type="dxa" w:w="1440"/>
            <w:shd w:fill="0F2A4A"/>
            <w:tcMar>
              <w:top w:w="60" w:type="dxa"/>
              <w:bottom w:w="60" w:type="dxa"/>
              <w:left w:w="80" w:type="dxa"/>
              <w:right w:w="80" w:type="dxa"/>
            </w:tcMar>
          </w:tcPr>
          <w:p>
            <w:r>
              <w:rPr>
                <w:rFonts w:ascii="Arial" w:hAnsi="Arial"/>
                <w:b/>
                <w:color w:val="FFFFFF"/>
                <w:sz w:val="17"/>
              </w:rPr>
              <w:t>FPR (Báo động giả)</w:t>
            </w:r>
          </w:p>
        </w:tc>
        <w:tc>
          <w:tcPr>
            <w:tcW w:type="dxa" w:w="1138"/>
            <w:shd w:fill="0F2A4A"/>
            <w:tcMar>
              <w:top w:w="60" w:type="dxa"/>
              <w:bottom w:w="60" w:type="dxa"/>
              <w:left w:w="80" w:type="dxa"/>
              <w:right w:w="80" w:type="dxa"/>
            </w:tcMar>
          </w:tcPr>
          <w:p>
            <w:r>
              <w:rPr>
                <w:rFonts w:ascii="Arial" w:hAnsi="Arial"/>
                <w:b/>
                <w:color w:val="FFFFFF"/>
                <w:sz w:val="17"/>
              </w:rPr>
              <w:t>Độ trễ TB</w:t>
            </w:r>
          </w:p>
        </w:tc>
      </w:tr>
      <w:tr>
        <w:tc>
          <w:tcPr>
            <w:tcW w:type="dxa" w:w="2592"/>
            <w:shd w:fill="FFFFFF"/>
            <w:tcMar>
              <w:top w:w="50" w:type="dxa"/>
              <w:bottom w:w="50" w:type="dxa"/>
              <w:left w:w="70" w:type="dxa"/>
              <w:right w:w="70" w:type="dxa"/>
            </w:tcMar>
          </w:tcPr>
          <w:p>
            <w:r>
              <w:rPr>
                <w:rFonts w:ascii="Arial" w:hAnsi="Arial"/>
                <w:sz w:val="17"/>
              </w:rPr>
              <w:t>ViSoBERT + WBCE (Tầng 1 Đề xuất)</w:t>
            </w:r>
          </w:p>
        </w:tc>
        <w:tc>
          <w:tcPr>
            <w:tcW w:type="dxa" w:w="1584"/>
            <w:shd w:fill="FFFFFF"/>
            <w:tcMar>
              <w:top w:w="50" w:type="dxa"/>
              <w:bottom w:w="50" w:type="dxa"/>
              <w:left w:w="70" w:type="dxa"/>
              <w:right w:w="70" w:type="dxa"/>
            </w:tcMar>
          </w:tcPr>
          <w:p>
            <w:r>
              <w:rPr>
                <w:rFonts w:ascii="Arial" w:hAnsi="Arial"/>
                <w:sz w:val="17"/>
              </w:rPr>
              <w:t>On-Device RoBERTa</w:t>
            </w:r>
          </w:p>
        </w:tc>
        <w:tc>
          <w:tcPr>
            <w:tcW w:type="dxa" w:w="1440"/>
            <w:shd w:fill="FFFFFF"/>
            <w:tcMar>
              <w:top w:w="50" w:type="dxa"/>
              <w:bottom w:w="50" w:type="dxa"/>
              <w:left w:w="70" w:type="dxa"/>
              <w:right w:w="70" w:type="dxa"/>
            </w:tcMar>
          </w:tcPr>
          <w:p>
            <w:r>
              <w:rPr>
                <w:rFonts w:ascii="Arial" w:hAnsi="Arial"/>
                <w:sz w:val="17"/>
              </w:rPr>
              <w:t>96.00% ± 0.0%</w:t>
            </w:r>
          </w:p>
        </w:tc>
        <w:tc>
          <w:tcPr>
            <w:tcW w:type="dxa" w:w="1440"/>
            <w:shd w:fill="FFFFFF"/>
            <w:tcMar>
              <w:top w:w="50" w:type="dxa"/>
              <w:bottom w:w="50" w:type="dxa"/>
              <w:left w:w="70" w:type="dxa"/>
              <w:right w:w="70" w:type="dxa"/>
            </w:tcMar>
          </w:tcPr>
          <w:p>
            <w:r>
              <w:rPr>
                <w:rFonts w:ascii="Arial" w:hAnsi="Arial"/>
                <w:sz w:val="17"/>
              </w:rPr>
              <w:t>92.31% ± 0.0%</w:t>
            </w:r>
          </w:p>
        </w:tc>
        <w:tc>
          <w:tcPr>
            <w:tcW w:type="dxa" w:w="1440"/>
            <w:shd w:fill="FFFFFF"/>
            <w:tcMar>
              <w:top w:w="50" w:type="dxa"/>
              <w:bottom w:w="50" w:type="dxa"/>
              <w:left w:w="70" w:type="dxa"/>
              <w:right w:w="70" w:type="dxa"/>
            </w:tcMar>
          </w:tcPr>
          <w:p>
            <w:r>
              <w:rPr>
                <w:rFonts w:ascii="Arial" w:hAnsi="Arial"/>
                <w:sz w:val="17"/>
              </w:rPr>
              <w:t>3.12% ± 0.0%</w:t>
            </w:r>
          </w:p>
        </w:tc>
        <w:tc>
          <w:tcPr>
            <w:tcW w:type="dxa" w:w="1138"/>
            <w:shd w:fill="FFFFFF"/>
            <w:tcMar>
              <w:top w:w="50" w:type="dxa"/>
              <w:bottom w:w="50" w:type="dxa"/>
              <w:left w:w="70" w:type="dxa"/>
              <w:right w:w="70" w:type="dxa"/>
            </w:tcMar>
          </w:tcPr>
          <w:p>
            <w:r>
              <w:rPr>
                <w:rFonts w:ascii="Arial" w:hAnsi="Arial"/>
                <w:sz w:val="17"/>
              </w:rPr>
              <w:t>24.6 ms</w:t>
            </w:r>
          </w:p>
        </w:tc>
      </w:tr>
      <w:tr>
        <w:tc>
          <w:tcPr>
            <w:tcW w:type="dxa" w:w="2592"/>
            <w:shd w:fill="FDEDEC"/>
            <w:tcMar>
              <w:top w:w="50" w:type="dxa"/>
              <w:bottom w:w="50" w:type="dxa"/>
              <w:left w:w="70" w:type="dxa"/>
              <w:right w:w="70" w:type="dxa"/>
            </w:tcMar>
          </w:tcPr>
          <w:p>
            <w:r>
              <w:rPr>
                <w:rFonts w:ascii="Arial" w:hAnsi="Arial"/>
                <w:sz w:val="17"/>
              </w:rPr>
              <w:t>Gemini 3.5 Flash (Tầng 2 Cũ - B3)</w:t>
            </w:r>
          </w:p>
        </w:tc>
        <w:tc>
          <w:tcPr>
            <w:tcW w:type="dxa" w:w="1584"/>
            <w:shd w:fill="FDEDEC"/>
            <w:tcMar>
              <w:top w:w="50" w:type="dxa"/>
              <w:bottom w:w="50" w:type="dxa"/>
              <w:left w:w="70" w:type="dxa"/>
              <w:right w:w="70" w:type="dxa"/>
            </w:tcMar>
          </w:tcPr>
          <w:p>
            <w:r>
              <w:rPr>
                <w:rFonts w:ascii="Arial" w:hAnsi="Arial"/>
                <w:sz w:val="17"/>
              </w:rPr>
              <w:t>Single Cloud LLM</w:t>
            </w:r>
          </w:p>
        </w:tc>
        <w:tc>
          <w:tcPr>
            <w:tcW w:type="dxa" w:w="1440"/>
            <w:shd w:fill="FDEDEC"/>
            <w:tcMar>
              <w:top w:w="50" w:type="dxa"/>
              <w:bottom w:w="50" w:type="dxa"/>
              <w:left w:w="70" w:type="dxa"/>
              <w:right w:w="70" w:type="dxa"/>
            </w:tcMar>
          </w:tcPr>
          <w:p>
            <w:r>
              <w:rPr>
                <w:rFonts w:ascii="Arial" w:hAnsi="Arial"/>
                <w:b/>
                <w:sz w:val="17"/>
              </w:rPr>
              <w:t>100.00% ± 0.0%</w:t>
            </w:r>
          </w:p>
        </w:tc>
        <w:tc>
          <w:tcPr>
            <w:tcW w:type="dxa" w:w="1440"/>
            <w:shd w:fill="FDEDEC"/>
            <w:tcMar>
              <w:top w:w="50" w:type="dxa"/>
              <w:bottom w:w="50" w:type="dxa"/>
              <w:left w:w="70" w:type="dxa"/>
              <w:right w:w="70" w:type="dxa"/>
            </w:tcMar>
          </w:tcPr>
          <w:p>
            <w:r>
              <w:rPr>
                <w:rFonts w:ascii="Arial" w:hAnsi="Arial"/>
                <w:b/>
                <w:sz w:val="17"/>
              </w:rPr>
              <w:t>64.47% ± 0.0%</w:t>
            </w:r>
          </w:p>
        </w:tc>
        <w:tc>
          <w:tcPr>
            <w:tcW w:type="dxa" w:w="1440"/>
            <w:shd w:fill="FDEDEC"/>
            <w:tcMar>
              <w:top w:w="50" w:type="dxa"/>
              <w:bottom w:w="50" w:type="dxa"/>
              <w:left w:w="70" w:type="dxa"/>
              <w:right w:w="70" w:type="dxa"/>
            </w:tcMar>
          </w:tcPr>
          <w:p>
            <w:r>
              <w:rPr>
                <w:rFonts w:ascii="Arial" w:hAnsi="Arial"/>
                <w:b/>
                <w:color w:val="B42828"/>
                <w:sz w:val="17"/>
              </w:rPr>
              <w:t>35.53% ± 0.0%</w:t>
            </w:r>
          </w:p>
        </w:tc>
        <w:tc>
          <w:tcPr>
            <w:tcW w:type="dxa" w:w="1138"/>
            <w:shd w:fill="FDEDEC"/>
            <w:tcMar>
              <w:top w:w="50" w:type="dxa"/>
              <w:bottom w:w="50" w:type="dxa"/>
              <w:left w:w="70" w:type="dxa"/>
              <w:right w:w="70" w:type="dxa"/>
            </w:tcMar>
          </w:tcPr>
          <w:p>
            <w:r>
              <w:rPr>
                <w:rFonts w:ascii="Arial" w:hAnsi="Arial"/>
                <w:sz w:val="17"/>
              </w:rPr>
              <w:t>4,897 ms</w:t>
            </w:r>
          </w:p>
        </w:tc>
      </w:tr>
    </w:tbl>
    <w:p>
      <w:pPr>
        <w:spacing w:after="80"/>
      </w:pPr>
    </w:p>
    <w:p>
      <w:pPr>
        <w:keepNext/>
        <w:spacing w:before="180" w:after="60"/>
      </w:pPr>
      <w:r>
        <w:rPr>
          <w:rFonts w:ascii="Arial" w:hAnsi="Arial"/>
          <w:b/>
          <w:color w:val="1A5276"/>
          <w:sz w:val="21"/>
        </w:rPr>
        <w:t>1.1. Hiện Tượng 'Alarm Fatigue' (Mệt Mỏi Cảnh Báo) Trong An Ninh Viễn Thông</w:t>
      </w:r>
    </w:p>
    <w:p>
      <w:pPr>
        <w:spacing w:before="0" w:after="70" w:line="276" w:lineRule="auto"/>
      </w:pPr>
      <w:r>
        <w:rPr>
          <w:rFonts w:ascii="Arial" w:hAnsi="Arial"/>
          <w:b w:val="0"/>
          <w:i w:val="0"/>
          <w:color w:val="232323"/>
          <w:sz w:val="19"/>
        </w:rPr>
        <w:t>Nhìn vào bảng số liệu trên, mặc dù Gemini 3.5 Flash đạt tỷ lệ phát hiện tuyệt đối (Scam Recall 100%), nhưng chỉ số Precision lại bị sụp đổ hoàn toàn xuống còn 64.47%. Điều này tương ứng với Tỷ lệ Báo động Giả (False Positive Rate - FPR) lên tới 35.53%. Cụ thể: cứ 3 tin nhắn bình thường của người dùng (tin nhắn thông báo mã OTP ngân hàng, tin nhắn trừ cước viễn thông, tin nhắn xác nhận đơn hàng), mô hình lại gán nhãn sai 1 tin là LỪA ĐẢO NGUY HIỂM.</w:t>
      </w:r>
    </w:p>
    <w:p>
      <w:pPr>
        <w:spacing w:before="0" w:after="70" w:line="276" w:lineRule="auto"/>
      </w:pPr>
      <w:r>
        <w:rPr>
          <w:rFonts w:ascii="Arial" w:hAnsi="Arial"/>
          <w:b w:val="0"/>
          <w:i w:val="0"/>
          <w:color w:val="232323"/>
          <w:sz w:val="19"/>
        </w:rPr>
        <w:t>Trong lĩnh vực kỹ thuật an ninh mạng và giao tiếp người - máy, đây là nguyên nhân trực tiếp dẫn tới hiện tượng Alarm Fatigue (Mệt mỏi cảnh báo). Khi người dùng liên tục nhận được các cảnh báo sai cho các giao dịch thiết yếu, họ sẽ có xu hướng tắt bỏ hoàn toàn ứng dụng bảo mật hoặc phớt lờ cảnh báo trong tương lai, từ đó vô hiệu hóa toàn bộ giá trị bảo vệ của hệ thống.</w:t>
      </w:r>
    </w:p>
    <w:p>
      <w:pPr>
        <w:keepNext/>
        <w:spacing w:before="180" w:after="60"/>
      </w:pPr>
      <w:r>
        <w:rPr>
          <w:rFonts w:ascii="Arial" w:hAnsi="Arial"/>
          <w:b/>
          <w:color w:val="1A5276"/>
          <w:sz w:val="21"/>
        </w:rPr>
        <w:t>1.2. Ba Điểm Yếu Cốt Lõi Của Cơ Chế Single-LLM Đơn Lẻ</w:t>
      </w:r>
    </w:p>
    <w:p>
      <w:pPr>
        <w:pStyle w:val="ListBullet"/>
        <w:spacing w:before="0" w:after="50" w:line="269" w:lineRule="auto"/>
      </w:pPr>
      <w:r>
        <w:rPr>
          <w:rFonts w:ascii="Arial" w:hAnsi="Arial"/>
          <w:b/>
          <w:color w:val="232323"/>
          <w:sz w:val="19"/>
        </w:rPr>
        <w:t xml:space="preserve">1. Thiếu sự chuyên môn hóa vai trò (Lack of Specialization): </w:t>
      </w:r>
      <w:r>
        <w:rPr>
          <w:rFonts w:ascii="Arial" w:hAnsi="Arial"/>
          <w:color w:val="232323"/>
          <w:sz w:val="19"/>
        </w:rPr>
        <w:t>Một mô hình LLM đơn lẻ phải đồng thời đánh giá hạ tầng mạng, tâm lý xã hội học, tiếng lóng địa phương và quy định ngân hàng. Sự quá tải ngữ cảnh dẫn tới việc mô hình phán đoán dựa trên từ khóa bề mặt (surface cues) thay vì bản chất kỹ thuật.</w:t>
      </w:r>
    </w:p>
    <w:p>
      <w:pPr>
        <w:pStyle w:val="ListBullet"/>
        <w:spacing w:before="0" w:after="50" w:line="269" w:lineRule="auto"/>
      </w:pPr>
      <w:r>
        <w:rPr>
          <w:rFonts w:ascii="Arial" w:hAnsi="Arial"/>
          <w:b/>
          <w:color w:val="232323"/>
          <w:sz w:val="19"/>
        </w:rPr>
        <w:t xml:space="preserve">2. Thiên kiến tự thân và Ảo giác (Self-Preference Bias &amp; Hallucination): </w:t>
      </w:r>
      <w:r>
        <w:rPr>
          <w:rFonts w:ascii="Arial" w:hAnsi="Arial"/>
          <w:color w:val="232323"/>
          <w:sz w:val="19"/>
        </w:rPr>
        <w:t>Mô hình đơn lẻ không có cơ chế tự kiểm chứng (Grounding Check). Khi nhìn thấy các từ nhạy cảm như 'ngân hàng', 'OTP', 'khóa tài khoản', mô hình mặc định có xu hướng cảnh giác thái quá và gán nhãn Scam.</w:t>
      </w:r>
    </w:p>
    <w:p>
      <w:pPr>
        <w:pStyle w:val="ListBullet"/>
        <w:spacing w:before="0" w:after="50" w:line="269" w:lineRule="auto"/>
      </w:pPr>
      <w:r>
        <w:rPr>
          <w:rFonts w:ascii="Arial" w:hAnsi="Arial"/>
          <w:b/>
          <w:color w:val="232323"/>
          <w:sz w:val="19"/>
        </w:rPr>
        <w:t xml:space="preserve">3. Tính a dua và Thiếu phản biện (Sycophancy &amp; Absence of Adversarial Debate): </w:t>
      </w:r>
      <w:r>
        <w:rPr>
          <w:rFonts w:ascii="Arial" w:hAnsi="Arial"/>
          <w:color w:val="232323"/>
          <w:sz w:val="19"/>
        </w:rPr>
        <w:t>Trong cơ chế Single-Judge, không có bất kỳ tác tử nào đóng vai trò 'Luật sư bào chữa' (Public Defender) để tìm kiếm các bằng chứng chứng minh tin nhắn là giao dịch hợp lệ. Do đó, hệ thống hoàn toàn thiếu cân bằng trong các tình huống phân vân.</w:t>
      </w:r>
    </w:p>
    <w:p>
      <w:pPr>
        <w:keepNext/>
        <w:spacing w:before="260" w:after="80"/>
      </w:pPr>
      <w:r>
        <w:rPr>
          <w:rFonts w:ascii="Arial" w:hAnsi="Arial"/>
          <w:b/>
          <w:color w:val="0F2A4A"/>
          <w:sz w:val="25"/>
        </w:rPr>
        <w:t>2. Cơ Sở Khoa Học &amp; Bằng Chứng Văn Hiến Hậu Thuẫn (Academic References)</w:t>
      </w:r>
    </w:p>
    <w:p>
      <w:pPr>
        <w:spacing w:before="0" w:after="70" w:line="276" w:lineRule="auto"/>
      </w:pPr>
      <w:r>
        <w:rPr>
          <w:rFonts w:ascii="Arial" w:hAnsi="Arial"/>
          <w:b w:val="0"/>
          <w:i w:val="0"/>
          <w:color w:val="232323"/>
          <w:sz w:val="19"/>
        </w:rPr>
        <w:t>Để giải quyết triệt để vấn đề Alarm Fatigue mà không làm giảm tỷ lệ phát hiện (Scam Recall), nhóm nghiên cứu đã tiến hành tổng hợp các công trình khoa học quốc tế mới nhất giai đoạn 2024–2025 về kiến trúc Đa Tác tử (Multi-Agent System), Hội đồng Thẩm phán LLM (LLM Council) và Tranh biện Ngược chiều (Adversarial Debate). Bảy cơ sở lý thuyết trụ cột bao gồm:</w:t>
      </w:r>
    </w:p>
    <w:tbl>
      <w:tblPr>
        <w:tblW w:type="auto" w:w="0"/>
        <w:jc w:val="center"/>
        <w:tblLook w:firstColumn="1" w:firstRow="1" w:lastColumn="0" w:lastRow="0" w:noHBand="0" w:noVBand="1" w:val="04A0"/>
      </w:tblPr>
      <w:tblGrid>
        <w:gridCol w:w="2408"/>
        <w:gridCol w:w="2408"/>
        <w:gridCol w:w="2408"/>
        <w:gridCol w:w="2408"/>
      </w:tblGrid>
      <w:tr>
        <w:tc>
          <w:tcPr>
            <w:tcW w:type="dxa" w:w="2592"/>
            <w:shd w:fill="1A5276"/>
            <w:tcMar>
              <w:top w:w="60" w:type="dxa"/>
              <w:bottom w:w="60" w:type="dxa"/>
              <w:left w:w="70" w:type="dxa"/>
              <w:right w:w="70" w:type="dxa"/>
            </w:tcMar>
          </w:tcPr>
          <w:p>
            <w:r>
              <w:rPr>
                <w:rFonts w:ascii="Arial" w:hAnsi="Arial"/>
                <w:b/>
                <w:color w:val="FFFFFF"/>
                <w:sz w:val="17"/>
              </w:rPr>
              <w:t>Tên công trình &amp; Tác giả</w:t>
            </w:r>
          </w:p>
        </w:tc>
        <w:tc>
          <w:tcPr>
            <w:tcW w:type="dxa" w:w="1584"/>
            <w:shd w:fill="1A5276"/>
            <w:tcMar>
              <w:top w:w="60" w:type="dxa"/>
              <w:bottom w:w="60" w:type="dxa"/>
              <w:left w:w="70" w:type="dxa"/>
              <w:right w:w="70" w:type="dxa"/>
            </w:tcMar>
          </w:tcPr>
          <w:p>
            <w:r>
              <w:rPr>
                <w:rFonts w:ascii="Arial" w:hAnsi="Arial"/>
                <w:b/>
                <w:color w:val="FFFFFF"/>
                <w:sz w:val="17"/>
              </w:rPr>
              <w:t>Venue &amp; Năm</w:t>
            </w:r>
          </w:p>
        </w:tc>
        <w:tc>
          <w:tcPr>
            <w:tcW w:type="dxa" w:w="3168"/>
            <w:shd w:fill="1A5276"/>
            <w:tcMar>
              <w:top w:w="60" w:type="dxa"/>
              <w:bottom w:w="60" w:type="dxa"/>
              <w:left w:w="70" w:type="dxa"/>
              <w:right w:w="70" w:type="dxa"/>
            </w:tcMar>
          </w:tcPr>
          <w:p>
            <w:r>
              <w:rPr>
                <w:rFonts w:ascii="Arial" w:hAnsi="Arial"/>
                <w:b/>
                <w:color w:val="FFFFFF"/>
                <w:sz w:val="17"/>
              </w:rPr>
              <w:t>Luận điểm &amp; Bằng chứng thực nghiệm cốt lõi</w:t>
            </w:r>
          </w:p>
        </w:tc>
        <w:tc>
          <w:tcPr>
            <w:tcW w:type="dxa" w:w="2290"/>
            <w:shd w:fill="1A5276"/>
            <w:tcMar>
              <w:top w:w="60" w:type="dxa"/>
              <w:bottom w:w="60" w:type="dxa"/>
              <w:left w:w="70" w:type="dxa"/>
              <w:right w:w="70" w:type="dxa"/>
            </w:tcMar>
          </w:tcPr>
          <w:p>
            <w:r>
              <w:rPr>
                <w:rFonts w:ascii="Arial" w:hAnsi="Arial"/>
                <w:b/>
                <w:color w:val="FFFFFF"/>
                <w:sz w:val="17"/>
              </w:rPr>
              <w:t>Kế thừa cho ScamShield-VN</w:t>
            </w:r>
          </w:p>
        </w:tc>
      </w:tr>
      <w:tr>
        <w:tc>
          <w:tcPr>
            <w:tcW w:type="dxa" w:w="2592"/>
            <w:shd w:fill="FFFFFF"/>
            <w:tcMar>
              <w:top w:w="45" w:type="dxa"/>
              <w:bottom w:w="45" w:type="dxa"/>
              <w:left w:w="60" w:type="dxa"/>
              <w:right w:w="60" w:type="dxa"/>
            </w:tcMar>
          </w:tcPr>
          <w:p>
            <w:r>
              <w:rPr>
                <w:rFonts w:ascii="Arial" w:hAnsi="Arial"/>
                <w:b/>
                <w:sz w:val="16"/>
              </w:rPr>
              <w:t>MultiPhishGuard (Chen et al.)</w:t>
            </w:r>
          </w:p>
        </w:tc>
        <w:tc>
          <w:tcPr>
            <w:tcW w:type="dxa" w:w="1584"/>
            <w:shd w:fill="FFFFFF"/>
            <w:tcMar>
              <w:top w:w="45" w:type="dxa"/>
              <w:bottom w:w="45" w:type="dxa"/>
              <w:left w:w="60" w:type="dxa"/>
              <w:right w:w="60" w:type="dxa"/>
            </w:tcMar>
          </w:tcPr>
          <w:p>
            <w:r>
              <w:rPr>
                <w:rFonts w:ascii="Arial" w:hAnsi="Arial"/>
                <w:sz w:val="16"/>
              </w:rPr>
              <w:t>arXiv:2505.23803 (2025)</w:t>
            </w:r>
          </w:p>
        </w:tc>
        <w:tc>
          <w:tcPr>
            <w:tcW w:type="dxa" w:w="3168"/>
            <w:shd w:fill="FFFFFF"/>
            <w:tcMar>
              <w:top w:w="45" w:type="dxa"/>
              <w:bottom w:w="45" w:type="dxa"/>
              <w:left w:w="60" w:type="dxa"/>
              <w:right w:w="60" w:type="dxa"/>
            </w:tcMar>
          </w:tcPr>
          <w:p>
            <w:r>
              <w:rPr>
                <w:rFonts w:ascii="Arial" w:hAnsi="Arial"/>
                <w:sz w:val="16"/>
              </w:rPr>
              <w:t>Phân rã tác vụ phát hiện lừa đảo thành các vai trò chuyên biệt (URL Inspector, Psychological Urgency, Banking Verifier) giúp hạ False Positive Rate từ 19.8% xuống 2.73% và tăng độ chính xác +18.4% so với Single LLM.</w:t>
            </w:r>
          </w:p>
        </w:tc>
        <w:tc>
          <w:tcPr>
            <w:tcW w:type="dxa" w:w="2290"/>
            <w:shd w:fill="FFFFFF"/>
            <w:tcMar>
              <w:top w:w="45" w:type="dxa"/>
              <w:bottom w:w="45" w:type="dxa"/>
              <w:left w:w="60" w:type="dxa"/>
              <w:right w:w="60" w:type="dxa"/>
            </w:tcMar>
          </w:tcPr>
          <w:p>
            <w:r>
              <w:rPr>
                <w:rFonts w:ascii="Arial" w:hAnsi="Arial"/>
                <w:sz w:val="16"/>
              </w:rPr>
              <w:t>Thiết lập cấu trúc 5 chức vụ chuyên gia pháp y độc lập.</w:t>
            </w:r>
          </w:p>
        </w:tc>
      </w:tr>
      <w:tr>
        <w:tc>
          <w:tcPr>
            <w:tcW w:type="dxa" w:w="2592"/>
            <w:shd w:fill="F8F9F9"/>
            <w:tcMar>
              <w:top w:w="45" w:type="dxa"/>
              <w:bottom w:w="45" w:type="dxa"/>
              <w:left w:w="60" w:type="dxa"/>
              <w:right w:w="60" w:type="dxa"/>
            </w:tcMar>
          </w:tcPr>
          <w:p>
            <w:r>
              <w:rPr>
                <w:rFonts w:ascii="Arial" w:hAnsi="Arial"/>
                <w:b/>
                <w:sz w:val="16"/>
              </w:rPr>
              <w:t>PoLL: Panel of LLMs (Verga et al.)</w:t>
            </w:r>
          </w:p>
        </w:tc>
        <w:tc>
          <w:tcPr>
            <w:tcW w:type="dxa" w:w="1584"/>
            <w:shd w:fill="F8F9F9"/>
            <w:tcMar>
              <w:top w:w="45" w:type="dxa"/>
              <w:bottom w:w="45" w:type="dxa"/>
              <w:left w:w="60" w:type="dxa"/>
              <w:right w:w="60" w:type="dxa"/>
            </w:tcMar>
          </w:tcPr>
          <w:p>
            <w:r>
              <w:rPr>
                <w:rFonts w:ascii="Arial" w:hAnsi="Arial"/>
                <w:sz w:val="16"/>
              </w:rPr>
              <w:t>arXiv:2404.18796 (2024)</w:t>
            </w:r>
          </w:p>
        </w:tc>
        <w:tc>
          <w:tcPr>
            <w:tcW w:type="dxa" w:w="3168"/>
            <w:shd w:fill="F8F9F9"/>
            <w:tcMar>
              <w:top w:w="45" w:type="dxa"/>
              <w:bottom w:w="45" w:type="dxa"/>
              <w:left w:w="60" w:type="dxa"/>
              <w:right w:w="60" w:type="dxa"/>
            </w:tcMar>
          </w:tcPr>
          <w:p>
            <w:r>
              <w:rPr>
                <w:rFonts w:ascii="Arial" w:hAnsi="Arial"/>
                <w:sz w:val="16"/>
              </w:rPr>
              <w:t>Kết hợp hội đồng các mô hình ngôn ngữ nhỏ hơn, thuộc các nhà cung cấp dị thể (Multi-provider Heterogeneous) giúp giảm chi phí 7 lần và loại bỏ hoàn toàn thiên kiến tự thân (Self-Preference Bias).</w:t>
            </w:r>
          </w:p>
        </w:tc>
        <w:tc>
          <w:tcPr>
            <w:tcW w:type="dxa" w:w="2290"/>
            <w:shd w:fill="F8F9F9"/>
            <w:tcMar>
              <w:top w:w="45" w:type="dxa"/>
              <w:bottom w:w="45" w:type="dxa"/>
              <w:left w:w="60" w:type="dxa"/>
              <w:right w:w="60" w:type="dxa"/>
            </w:tcMar>
          </w:tcPr>
          <w:p>
            <w:r>
              <w:rPr>
                <w:rFonts w:ascii="Arial" w:hAnsi="Arial"/>
                <w:sz w:val="16"/>
              </w:rPr>
              <w:t>Phối hợp đa nhà cung cấp: Google, OpenAI, Anthropic và Open-weights.</w:t>
            </w:r>
          </w:p>
        </w:tc>
      </w:tr>
      <w:tr>
        <w:tc>
          <w:tcPr>
            <w:tcW w:type="dxa" w:w="2592"/>
            <w:shd w:fill="FFFFFF"/>
            <w:tcMar>
              <w:top w:w="45" w:type="dxa"/>
              <w:bottom w:w="45" w:type="dxa"/>
              <w:left w:w="60" w:type="dxa"/>
              <w:right w:w="60" w:type="dxa"/>
            </w:tcMar>
          </w:tcPr>
          <w:p>
            <w:r>
              <w:rPr>
                <w:rFonts w:ascii="Arial" w:hAnsi="Arial"/>
                <w:b/>
                <w:sz w:val="16"/>
              </w:rPr>
              <w:t>ChatEval: Multi-Agent Debate (Chan et al.)</w:t>
            </w:r>
          </w:p>
        </w:tc>
        <w:tc>
          <w:tcPr>
            <w:tcW w:type="dxa" w:w="1584"/>
            <w:shd w:fill="FFFFFF"/>
            <w:tcMar>
              <w:top w:w="45" w:type="dxa"/>
              <w:bottom w:w="45" w:type="dxa"/>
              <w:left w:w="60" w:type="dxa"/>
              <w:right w:w="60" w:type="dxa"/>
            </w:tcMar>
          </w:tcPr>
          <w:p>
            <w:r>
              <w:rPr>
                <w:rFonts w:ascii="Arial" w:hAnsi="Arial"/>
                <w:sz w:val="16"/>
              </w:rPr>
              <w:t>ICLR (2024)</w:t>
            </w:r>
          </w:p>
        </w:tc>
        <w:tc>
          <w:tcPr>
            <w:tcW w:type="dxa" w:w="3168"/>
            <w:shd w:fill="FFFFFF"/>
            <w:tcMar>
              <w:top w:w="45" w:type="dxa"/>
              <w:bottom w:w="45" w:type="dxa"/>
              <w:left w:w="60" w:type="dxa"/>
              <w:right w:w="60" w:type="dxa"/>
            </w:tcMar>
          </w:tcPr>
          <w:p>
            <w:r>
              <w:rPr>
                <w:rFonts w:ascii="Arial" w:hAnsi="Arial"/>
                <w:sz w:val="16"/>
              </w:rPr>
              <w:t>Cơ chế tranh biện đa tác tử và trọng tài độc lập loại bỏ ảo giác (Hallucination) và cải thiện tính nhất quán trong các tác vụ phán xử phức tạp.</w:t>
            </w:r>
          </w:p>
        </w:tc>
        <w:tc>
          <w:tcPr>
            <w:tcW w:type="dxa" w:w="2290"/>
            <w:shd w:fill="FFFFFF"/>
            <w:tcMar>
              <w:top w:w="45" w:type="dxa"/>
              <w:bottom w:w="45" w:type="dxa"/>
              <w:left w:w="60" w:type="dxa"/>
              <w:right w:w="60" w:type="dxa"/>
            </w:tcMar>
          </w:tcPr>
          <w:p>
            <w:r>
              <w:rPr>
                <w:rFonts w:ascii="Arial" w:hAnsi="Arial"/>
                <w:sz w:val="16"/>
              </w:rPr>
              <w:t>Cơ chế tranh biện và điều phối phán xử độc lập.</w:t>
            </w:r>
          </w:p>
        </w:tc>
      </w:tr>
      <w:tr>
        <w:tc>
          <w:tcPr>
            <w:tcW w:type="dxa" w:w="2592"/>
            <w:shd w:fill="F8F9F9"/>
            <w:tcMar>
              <w:top w:w="45" w:type="dxa"/>
              <w:bottom w:w="45" w:type="dxa"/>
              <w:left w:w="60" w:type="dxa"/>
              <w:right w:w="60" w:type="dxa"/>
            </w:tcMar>
          </w:tcPr>
          <w:p>
            <w:r>
              <w:rPr>
                <w:rFonts w:ascii="Arial" w:hAnsi="Arial"/>
                <w:b/>
                <w:sz w:val="16"/>
              </w:rPr>
              <w:t>Language Model Council (NAACL 2025 Main)</w:t>
            </w:r>
          </w:p>
        </w:tc>
        <w:tc>
          <w:tcPr>
            <w:tcW w:type="dxa" w:w="1584"/>
            <w:shd w:fill="F8F9F9"/>
            <w:tcMar>
              <w:top w:w="45" w:type="dxa"/>
              <w:bottom w:w="45" w:type="dxa"/>
              <w:left w:w="60" w:type="dxa"/>
              <w:right w:w="60" w:type="dxa"/>
            </w:tcMar>
          </w:tcPr>
          <w:p>
            <w:r>
              <w:rPr>
                <w:rFonts w:ascii="Arial" w:hAnsi="Arial"/>
                <w:sz w:val="16"/>
              </w:rPr>
              <w:t>NAACL Main (2025)</w:t>
            </w:r>
          </w:p>
        </w:tc>
        <w:tc>
          <w:tcPr>
            <w:tcW w:type="dxa" w:w="3168"/>
            <w:shd w:fill="F8F9F9"/>
            <w:tcMar>
              <w:top w:w="45" w:type="dxa"/>
              <w:bottom w:w="45" w:type="dxa"/>
              <w:left w:w="60" w:type="dxa"/>
              <w:right w:w="60" w:type="dxa"/>
            </w:tcMar>
          </w:tcPr>
          <w:p>
            <w:r>
              <w:rPr>
                <w:rFonts w:ascii="Arial" w:hAnsi="Arial"/>
                <w:sz w:val="16"/>
              </w:rPr>
              <w:t>Phương pháp bỏ phiếu xếp hạng (Borda Count Voting) trong hội đồng giải quyết sự thiếu ổn định của LLM-as-a-judge, tạo phán quyết tiệm cận con người.</w:t>
            </w:r>
          </w:p>
        </w:tc>
        <w:tc>
          <w:tcPr>
            <w:tcW w:type="dxa" w:w="2290"/>
            <w:shd w:fill="F8F9F9"/>
            <w:tcMar>
              <w:top w:w="45" w:type="dxa"/>
              <w:bottom w:w="45" w:type="dxa"/>
              <w:left w:w="60" w:type="dxa"/>
              <w:right w:w="60" w:type="dxa"/>
            </w:tcMar>
          </w:tcPr>
          <w:p>
            <w:r>
              <w:rPr>
                <w:rFonts w:ascii="Arial" w:hAnsi="Arial"/>
                <w:sz w:val="16"/>
              </w:rPr>
              <w:t>Thuật toán tổng hợp phiếu biểu quyết Borda Weighted Consensus.</w:t>
            </w:r>
          </w:p>
        </w:tc>
      </w:tr>
      <w:tr>
        <w:tc>
          <w:tcPr>
            <w:tcW w:type="dxa" w:w="2592"/>
            <w:shd w:fill="FFFFFF"/>
            <w:tcMar>
              <w:top w:w="45" w:type="dxa"/>
              <w:bottom w:w="45" w:type="dxa"/>
              <w:left w:w="60" w:type="dxa"/>
              <w:right w:w="60" w:type="dxa"/>
            </w:tcMar>
          </w:tcPr>
          <w:p>
            <w:r>
              <w:rPr>
                <w:rFonts w:ascii="Arial" w:hAnsi="Arial"/>
                <w:b/>
                <w:sz w:val="16"/>
              </w:rPr>
              <w:t>Debate-Driven Multi-Agent LLMs (Du et al.)</w:t>
            </w:r>
          </w:p>
        </w:tc>
        <w:tc>
          <w:tcPr>
            <w:tcW w:type="dxa" w:w="1584"/>
            <w:shd w:fill="FFFFFF"/>
            <w:tcMar>
              <w:top w:w="45" w:type="dxa"/>
              <w:bottom w:w="45" w:type="dxa"/>
              <w:left w:w="60" w:type="dxa"/>
              <w:right w:w="60" w:type="dxa"/>
            </w:tcMar>
          </w:tcPr>
          <w:p>
            <w:r>
              <w:rPr>
                <w:rFonts w:ascii="Arial" w:hAnsi="Arial"/>
                <w:sz w:val="16"/>
              </w:rPr>
              <w:t>ICML (2024)</w:t>
            </w:r>
          </w:p>
        </w:tc>
        <w:tc>
          <w:tcPr>
            <w:tcW w:type="dxa" w:w="3168"/>
            <w:shd w:fill="FFFFFF"/>
            <w:tcMar>
              <w:top w:w="45" w:type="dxa"/>
              <w:bottom w:w="45" w:type="dxa"/>
              <w:left w:w="60" w:type="dxa"/>
              <w:right w:w="60" w:type="dxa"/>
            </w:tcMar>
          </w:tcPr>
          <w:p>
            <w:r>
              <w:rPr>
                <w:rFonts w:ascii="Arial" w:hAnsi="Arial"/>
                <w:sz w:val="16"/>
              </w:rPr>
              <w:t>Sự tương tác đối kháng kích hoạt năng lực tự sửa sai (Self-Correction), ngăn chặn hiện tượng a dua khi gặp ngôn từ giật gân.</w:t>
            </w:r>
          </w:p>
        </w:tc>
        <w:tc>
          <w:tcPr>
            <w:tcW w:type="dxa" w:w="2290"/>
            <w:shd w:fill="FFFFFF"/>
            <w:tcMar>
              <w:top w:w="45" w:type="dxa"/>
              <w:bottom w:w="45" w:type="dxa"/>
              <w:left w:w="60" w:type="dxa"/>
              <w:right w:w="60" w:type="dxa"/>
            </w:tcMar>
          </w:tcPr>
          <w:p>
            <w:r>
              <w:rPr>
                <w:rFonts w:ascii="Arial" w:hAnsi="Arial"/>
                <w:sz w:val="16"/>
              </w:rPr>
              <w:t>Khởi tạo vai trò Public Defender phản biện đối kháng.</w:t>
            </w:r>
          </w:p>
        </w:tc>
      </w:tr>
      <w:tr>
        <w:tc>
          <w:tcPr>
            <w:tcW w:type="dxa" w:w="2592"/>
            <w:shd w:fill="F8F9F9"/>
            <w:tcMar>
              <w:top w:w="45" w:type="dxa"/>
              <w:bottom w:w="45" w:type="dxa"/>
              <w:left w:w="60" w:type="dxa"/>
              <w:right w:w="60" w:type="dxa"/>
            </w:tcMar>
          </w:tcPr>
          <w:p>
            <w:r>
              <w:rPr>
                <w:rFonts w:ascii="Arial" w:hAnsi="Arial"/>
                <w:b/>
                <w:sz w:val="16"/>
              </w:rPr>
              <w:t>llm-council Framework (Andrej Karpathy)</w:t>
            </w:r>
          </w:p>
        </w:tc>
        <w:tc>
          <w:tcPr>
            <w:tcW w:type="dxa" w:w="1584"/>
            <w:shd w:fill="F8F9F9"/>
            <w:tcMar>
              <w:top w:w="45" w:type="dxa"/>
              <w:bottom w:w="45" w:type="dxa"/>
              <w:left w:w="60" w:type="dxa"/>
              <w:right w:w="60" w:type="dxa"/>
            </w:tcMar>
          </w:tcPr>
          <w:p>
            <w:r>
              <w:rPr>
                <w:rFonts w:ascii="Arial" w:hAnsi="Arial"/>
                <w:sz w:val="16"/>
              </w:rPr>
              <w:t>Open Source (2024)</w:t>
            </w:r>
          </w:p>
        </w:tc>
        <w:tc>
          <w:tcPr>
            <w:tcW w:type="dxa" w:w="3168"/>
            <w:shd w:fill="F8F9F9"/>
            <w:tcMar>
              <w:top w:w="45" w:type="dxa"/>
              <w:bottom w:w="45" w:type="dxa"/>
              <w:left w:w="60" w:type="dxa"/>
              <w:right w:w="60" w:type="dxa"/>
            </w:tcMar>
          </w:tcPr>
          <w:p>
            <w:r>
              <w:rPr>
                <w:rFonts w:ascii="Arial" w:hAnsi="Arial"/>
                <w:sz w:val="16"/>
              </w:rPr>
              <w:t>Kiến trúc điều phối phi tập trung, phân luồng truy vấn song song và tổng hợp kết luận đa diện trong thời gian thực.</w:t>
            </w:r>
          </w:p>
        </w:tc>
        <w:tc>
          <w:tcPr>
            <w:tcW w:type="dxa" w:w="2290"/>
            <w:shd w:fill="F8F9F9"/>
            <w:tcMar>
              <w:top w:w="45" w:type="dxa"/>
              <w:bottom w:w="45" w:type="dxa"/>
              <w:left w:w="60" w:type="dxa"/>
              <w:right w:w="60" w:type="dxa"/>
            </w:tcMar>
          </w:tcPr>
          <w:p>
            <w:r>
              <w:rPr>
                <w:rFonts w:ascii="Arial" w:hAnsi="Arial"/>
                <w:sz w:val="16"/>
              </w:rPr>
              <w:t>Mô hình kiến trúc phân luồng bất đồng bộ (asyncio).</w:t>
            </w:r>
          </w:p>
        </w:tc>
      </w:tr>
      <w:tr>
        <w:tc>
          <w:tcPr>
            <w:tcW w:type="dxa" w:w="2592"/>
            <w:shd w:fill="FFFFFF"/>
            <w:tcMar>
              <w:top w:w="45" w:type="dxa"/>
              <w:bottom w:w="45" w:type="dxa"/>
              <w:left w:w="60" w:type="dxa"/>
              <w:right w:w="60" w:type="dxa"/>
            </w:tcMar>
          </w:tcPr>
          <w:p>
            <w:r>
              <w:rPr>
                <w:rFonts w:ascii="Arial" w:hAnsi="Arial"/>
                <w:b/>
                <w:sz w:val="16"/>
              </w:rPr>
              <w:t>Định lý Bồi thẩm đoàn Condorcet</w:t>
            </w:r>
          </w:p>
        </w:tc>
        <w:tc>
          <w:tcPr>
            <w:tcW w:type="dxa" w:w="1584"/>
            <w:shd w:fill="FFFFFF"/>
            <w:tcMar>
              <w:top w:w="45" w:type="dxa"/>
              <w:bottom w:w="45" w:type="dxa"/>
              <w:left w:w="60" w:type="dxa"/>
              <w:right w:w="60" w:type="dxa"/>
            </w:tcMar>
          </w:tcPr>
          <w:p>
            <w:r>
              <w:rPr>
                <w:rFonts w:ascii="Arial" w:hAnsi="Arial"/>
                <w:sz w:val="16"/>
              </w:rPr>
              <w:t>Mathematical Theory</w:t>
            </w:r>
          </w:p>
        </w:tc>
        <w:tc>
          <w:tcPr>
            <w:tcW w:type="dxa" w:w="3168"/>
            <w:shd w:fill="FFFFFF"/>
            <w:tcMar>
              <w:top w:w="45" w:type="dxa"/>
              <w:bottom w:w="45" w:type="dxa"/>
              <w:left w:w="60" w:type="dxa"/>
              <w:right w:w="60" w:type="dxa"/>
            </w:tcMar>
          </w:tcPr>
          <w:p>
            <w:r>
              <w:rPr>
                <w:rFonts w:ascii="Arial" w:hAnsi="Arial"/>
                <w:sz w:val="16"/>
              </w:rPr>
              <w:t>Chứng minh toán học: Khi các cá nhân độc lập có p &gt; 0.5, quyết định theo đa số của hội đồng N=5 thành viên sẽ tiệm cận xác suất đúng 1.0 với chi phí tối ưu.</w:t>
            </w:r>
          </w:p>
        </w:tc>
        <w:tc>
          <w:tcPr>
            <w:tcW w:type="dxa" w:w="2290"/>
            <w:shd w:fill="FFFFFF"/>
            <w:tcMar>
              <w:top w:w="45" w:type="dxa"/>
              <w:bottom w:w="45" w:type="dxa"/>
              <w:left w:w="60" w:type="dxa"/>
              <w:right w:w="60" w:type="dxa"/>
            </w:tcMar>
          </w:tcPr>
          <w:p>
            <w:r>
              <w:rPr>
                <w:rFonts w:ascii="Arial" w:hAnsi="Arial"/>
                <w:sz w:val="16"/>
              </w:rPr>
              <w:t>Cơ sở khoa học cho quy mô hội đồng đúng 5 thành viên.</w:t>
            </w:r>
          </w:p>
        </w:tc>
      </w:tr>
    </w:tbl>
    <w:p>
      <w:pPr>
        <w:spacing w:after="80"/>
      </w:pPr>
    </w:p>
    <w:p>
      <w:pPr>
        <w:keepNext/>
        <w:spacing w:before="260" w:after="80"/>
      </w:pPr>
      <w:r>
        <w:rPr>
          <w:rFonts w:ascii="Arial" w:hAnsi="Arial"/>
          <w:b/>
          <w:color w:val="0F2A4A"/>
          <w:sz w:val="25"/>
        </w:rPr>
        <w:t>3. Thiết Kế Cơ Chế Hội Đồng Pháp Y 5 Chuyên Gia (Forensic Council Architecture)</w:t>
      </w:r>
    </w:p>
    <w:p>
      <w:pPr>
        <w:spacing w:before="0" w:after="70" w:line="276" w:lineRule="auto"/>
      </w:pPr>
      <w:r>
        <w:rPr>
          <w:rFonts w:ascii="Arial" w:hAnsi="Arial"/>
          <w:b w:val="0"/>
          <w:i w:val="0"/>
          <w:color w:val="232323"/>
          <w:sz w:val="19"/>
        </w:rPr>
        <w:t>Dựa trên các bằng chứng khoa học nêu trên, Tầng 2 của ScamShield-VN được tái cấu trúc thành một Hội đồng Pháp y Đa Tác tử gồm 5 chức vụ chuyên môn hóa, hoạt động trên nguyên tắc độc lập, phản biện và đồng thuận dân chủ.</w:t>
      </w:r>
    </w:p>
    <w:p>
      <w:pPr>
        <w:keepNext/>
        <w:spacing w:before="180" w:after="60"/>
      </w:pPr>
      <w:r>
        <w:rPr>
          <w:rFonts w:ascii="Arial" w:hAnsi="Arial"/>
          <w:b/>
          <w:color w:val="1A5276"/>
          <w:sz w:val="21"/>
        </w:rPr>
        <w:t>3.1. Danh Mục 5 Chức Vụ Pháp Y, Phân Công Mô Hình &amp; Chuỗi Dự Phòng (Standby Chains)</w:t>
      </w:r>
    </w:p>
    <w:tbl>
      <w:tblPr>
        <w:tblW w:type="auto" w:w="0"/>
        <w:jc w:val="center"/>
        <w:tblLook w:firstColumn="1" w:firstRow="1" w:lastColumn="0" w:lastRow="0" w:noHBand="0" w:noVBand="1" w:val="04A0"/>
      </w:tblPr>
      <w:tblGrid>
        <w:gridCol w:w="1927"/>
        <w:gridCol w:w="1927"/>
        <w:gridCol w:w="1927"/>
        <w:gridCol w:w="1927"/>
        <w:gridCol w:w="1927"/>
      </w:tblGrid>
      <w:tr>
        <w:tc>
          <w:tcPr>
            <w:tcW w:type="dxa" w:w="2304"/>
            <w:shd w:fill="0F2A4A"/>
            <w:tcMar>
              <w:top w:w="60" w:type="dxa"/>
              <w:bottom w:w="60" w:type="dxa"/>
              <w:left w:w="70" w:type="dxa"/>
              <w:right w:w="70" w:type="dxa"/>
            </w:tcMar>
          </w:tcPr>
          <w:p>
            <w:r>
              <w:rPr>
                <w:rFonts w:ascii="Arial" w:hAnsi="Arial"/>
                <w:b/>
                <w:color w:val="FFFFFF"/>
                <w:sz w:val="17"/>
              </w:rPr>
              <w:t>Chức vụ Pháp y</w:t>
            </w:r>
          </w:p>
        </w:tc>
        <w:tc>
          <w:tcPr>
            <w:tcW w:type="dxa" w:w="2880"/>
            <w:shd w:fill="0F2A4A"/>
            <w:tcMar>
              <w:top w:w="60" w:type="dxa"/>
              <w:bottom w:w="60" w:type="dxa"/>
              <w:left w:w="70" w:type="dxa"/>
              <w:right w:w="70" w:type="dxa"/>
            </w:tcMar>
          </w:tcPr>
          <w:p>
            <w:r>
              <w:rPr>
                <w:rFonts w:ascii="Arial" w:hAnsi="Arial"/>
                <w:b/>
                <w:color w:val="FFFFFF"/>
                <w:sz w:val="17"/>
              </w:rPr>
              <w:t>Trọng tâm Giám định</w:t>
            </w:r>
          </w:p>
        </w:tc>
        <w:tc>
          <w:tcPr>
            <w:tcW w:type="dxa" w:w="1728"/>
            <w:shd w:fill="0F2A4A"/>
            <w:tcMar>
              <w:top w:w="60" w:type="dxa"/>
              <w:bottom w:w="60" w:type="dxa"/>
              <w:left w:w="70" w:type="dxa"/>
              <w:right w:w="70" w:type="dxa"/>
            </w:tcMar>
          </w:tcPr>
          <w:p>
            <w:r>
              <w:rPr>
                <w:rFonts w:ascii="Arial" w:hAnsi="Arial"/>
                <w:b/>
                <w:color w:val="FFFFFF"/>
                <w:sz w:val="17"/>
              </w:rPr>
              <w:t>Mô hình Mặc định</w:t>
            </w:r>
          </w:p>
        </w:tc>
        <w:tc>
          <w:tcPr>
            <w:tcW w:type="dxa" w:w="1872"/>
            <w:shd w:fill="0F2A4A"/>
            <w:tcMar>
              <w:top w:w="60" w:type="dxa"/>
              <w:bottom w:w="60" w:type="dxa"/>
              <w:left w:w="70" w:type="dxa"/>
              <w:right w:w="70" w:type="dxa"/>
            </w:tcMar>
          </w:tcPr>
          <w:p>
            <w:r>
              <w:rPr>
                <w:rFonts w:ascii="Arial" w:hAnsi="Arial"/>
                <w:b/>
                <w:color w:val="FFFFFF"/>
                <w:sz w:val="17"/>
              </w:rPr>
              <w:t>Chuỗi Dự phòng (Standby)</w:t>
            </w:r>
          </w:p>
        </w:tc>
        <w:tc>
          <w:tcPr>
            <w:tcW w:type="dxa" w:w="850"/>
            <w:shd w:fill="0F2A4A"/>
            <w:tcMar>
              <w:top w:w="60" w:type="dxa"/>
              <w:bottom w:w="60" w:type="dxa"/>
              <w:left w:w="70" w:type="dxa"/>
              <w:right w:w="70" w:type="dxa"/>
            </w:tcMar>
          </w:tcPr>
          <w:p>
            <w:r>
              <w:rPr>
                <w:rFonts w:ascii="Arial" w:hAnsi="Arial"/>
                <w:b/>
                <w:color w:val="FFFFFF"/>
                <w:sz w:val="17"/>
              </w:rPr>
              <w:t>Trọng số</w:t>
            </w:r>
          </w:p>
        </w:tc>
      </w:tr>
      <w:tr>
        <w:tc>
          <w:tcPr>
            <w:tcW w:type="dxa" w:w="2304"/>
            <w:shd w:fill="FFFFFF"/>
            <w:tcMar>
              <w:top w:w="45" w:type="dxa"/>
              <w:bottom w:w="45" w:type="dxa"/>
              <w:left w:w="60" w:type="dxa"/>
              <w:right w:w="60" w:type="dxa"/>
            </w:tcMar>
          </w:tcPr>
          <w:p>
            <w:r>
              <w:rPr>
                <w:rFonts w:ascii="Arial" w:hAnsi="Arial"/>
                <w:b/>
                <w:sz w:val="16"/>
              </w:rPr>
              <w:t>1. Cyber Threat &amp; URL Inspector</w:t>
            </w:r>
          </w:p>
        </w:tc>
        <w:tc>
          <w:tcPr>
            <w:tcW w:type="dxa" w:w="2880"/>
            <w:shd w:fill="FFFFFF"/>
            <w:tcMar>
              <w:top w:w="45" w:type="dxa"/>
              <w:bottom w:w="45" w:type="dxa"/>
              <w:left w:w="60" w:type="dxa"/>
              <w:right w:w="60" w:type="dxa"/>
            </w:tcMar>
          </w:tcPr>
          <w:p>
            <w:r>
              <w:rPr>
                <w:rFonts w:ascii="Arial" w:hAnsi="Arial"/>
                <w:sz w:val="16"/>
              </w:rPr>
              <w:t>Phát hiện URL giả mạo (homoglyph, typosquatting), link rút gọn độc hại, file APK nguy hiểm, cổng web mạo danh.</w:t>
            </w:r>
          </w:p>
        </w:tc>
        <w:tc>
          <w:tcPr>
            <w:tcW w:type="dxa" w:w="1728"/>
            <w:shd w:fill="FFFFFF"/>
            <w:tcMar>
              <w:top w:w="45" w:type="dxa"/>
              <w:bottom w:w="45" w:type="dxa"/>
              <w:left w:w="60" w:type="dxa"/>
              <w:right w:w="60" w:type="dxa"/>
            </w:tcMar>
          </w:tcPr>
          <w:p>
            <w:r>
              <w:rPr>
                <w:rFonts w:ascii="Arial" w:hAnsi="Arial"/>
                <w:sz w:val="16"/>
              </w:rPr>
              <w:t>gemini-2.5-flash</w:t>
            </w:r>
          </w:p>
        </w:tc>
        <w:tc>
          <w:tcPr>
            <w:tcW w:type="dxa" w:w="1872"/>
            <w:shd w:fill="FFFFFF"/>
            <w:tcMar>
              <w:top w:w="45" w:type="dxa"/>
              <w:bottom w:w="45" w:type="dxa"/>
              <w:left w:w="60" w:type="dxa"/>
              <w:right w:w="60" w:type="dxa"/>
            </w:tcMar>
          </w:tcPr>
          <w:p>
            <w:r>
              <w:rPr>
                <w:rFonts w:ascii="Arial" w:hAnsi="Arial"/>
                <w:sz w:val="16"/>
              </w:rPr>
              <w:t>gpt-4o-mini, qwen-2.5-7b, deepseek-chat</w:t>
            </w:r>
          </w:p>
        </w:tc>
        <w:tc>
          <w:tcPr>
            <w:tcW w:type="dxa" w:w="850"/>
            <w:shd w:fill="FFFFFF"/>
            <w:tcMar>
              <w:top w:w="45" w:type="dxa"/>
              <w:bottom w:w="45" w:type="dxa"/>
              <w:left w:w="60" w:type="dxa"/>
              <w:right w:w="60" w:type="dxa"/>
            </w:tcMar>
          </w:tcPr>
          <w:p>
            <w:r>
              <w:rPr>
                <w:rFonts w:ascii="Arial" w:hAnsi="Arial"/>
                <w:b/>
                <w:color w:val="1A5276"/>
                <w:sz w:val="16"/>
              </w:rPr>
              <w:t>1.2</w:t>
            </w:r>
          </w:p>
        </w:tc>
      </w:tr>
      <w:tr>
        <w:tc>
          <w:tcPr>
            <w:tcW w:type="dxa" w:w="2304"/>
            <w:shd w:fill="F4F6F6"/>
            <w:tcMar>
              <w:top w:w="45" w:type="dxa"/>
              <w:bottom w:w="45" w:type="dxa"/>
              <w:left w:w="60" w:type="dxa"/>
              <w:right w:w="60" w:type="dxa"/>
            </w:tcMar>
          </w:tcPr>
          <w:p>
            <w:r>
              <w:rPr>
                <w:rFonts w:ascii="Arial" w:hAnsi="Arial"/>
                <w:b/>
                <w:sz w:val="16"/>
              </w:rPr>
              <w:t>2. Social Engineering Profiler</w:t>
            </w:r>
          </w:p>
        </w:tc>
        <w:tc>
          <w:tcPr>
            <w:tcW w:type="dxa" w:w="2880"/>
            <w:shd w:fill="F4F6F6"/>
            <w:tcMar>
              <w:top w:w="45" w:type="dxa"/>
              <w:bottom w:w="45" w:type="dxa"/>
              <w:left w:w="60" w:type="dxa"/>
              <w:right w:w="60" w:type="dxa"/>
            </w:tcMar>
          </w:tcPr>
          <w:p>
            <w:r>
              <w:rPr>
                <w:rFonts w:ascii="Arial" w:hAnsi="Arial"/>
                <w:sz w:val="16"/>
              </w:rPr>
              <w:t>Bóc tách đòn bẩy tâm lý: áp lực thời gian khẩn cấp ('trong 24h'), đe dọa tố tụng công an/viện kiểm sát, mồi chài lòng tham trúng thưởng.</w:t>
            </w:r>
          </w:p>
        </w:tc>
        <w:tc>
          <w:tcPr>
            <w:tcW w:type="dxa" w:w="1728"/>
            <w:shd w:fill="F4F6F6"/>
            <w:tcMar>
              <w:top w:w="45" w:type="dxa"/>
              <w:bottom w:w="45" w:type="dxa"/>
              <w:left w:w="60" w:type="dxa"/>
              <w:right w:w="60" w:type="dxa"/>
            </w:tcMar>
          </w:tcPr>
          <w:p>
            <w:r>
              <w:rPr>
                <w:rFonts w:ascii="Arial" w:hAnsi="Arial"/>
                <w:sz w:val="16"/>
              </w:rPr>
              <w:t>gemini-2.5-pro</w:t>
            </w:r>
          </w:p>
        </w:tc>
        <w:tc>
          <w:tcPr>
            <w:tcW w:type="dxa" w:w="1872"/>
            <w:shd w:fill="F4F6F6"/>
            <w:tcMar>
              <w:top w:w="45" w:type="dxa"/>
              <w:bottom w:w="45" w:type="dxa"/>
              <w:left w:w="60" w:type="dxa"/>
              <w:right w:w="60" w:type="dxa"/>
            </w:tcMar>
          </w:tcPr>
          <w:p>
            <w:r>
              <w:rPr>
                <w:rFonts w:ascii="Arial" w:hAnsi="Arial"/>
                <w:sz w:val="16"/>
              </w:rPr>
              <w:t>claude-3-5-haiku, gpt-4o-mini, gemini-flash</w:t>
            </w:r>
          </w:p>
        </w:tc>
        <w:tc>
          <w:tcPr>
            <w:tcW w:type="dxa" w:w="850"/>
            <w:shd w:fill="F4F6F6"/>
            <w:tcMar>
              <w:top w:w="45" w:type="dxa"/>
              <w:bottom w:w="45" w:type="dxa"/>
              <w:left w:w="60" w:type="dxa"/>
              <w:right w:w="60" w:type="dxa"/>
            </w:tcMar>
          </w:tcPr>
          <w:p>
            <w:r>
              <w:rPr>
                <w:rFonts w:ascii="Arial" w:hAnsi="Arial"/>
                <w:b/>
                <w:color w:val="1A5276"/>
                <w:sz w:val="16"/>
              </w:rPr>
              <w:t>1.1</w:t>
            </w:r>
          </w:p>
        </w:tc>
      </w:tr>
      <w:tr>
        <w:tc>
          <w:tcPr>
            <w:tcW w:type="dxa" w:w="2304"/>
            <w:shd w:fill="FFFFFF"/>
            <w:tcMar>
              <w:top w:w="45" w:type="dxa"/>
              <w:bottom w:w="45" w:type="dxa"/>
              <w:left w:w="60" w:type="dxa"/>
              <w:right w:w="60" w:type="dxa"/>
            </w:tcMar>
          </w:tcPr>
          <w:p>
            <w:r>
              <w:rPr>
                <w:rFonts w:ascii="Arial" w:hAnsi="Arial"/>
                <w:b/>
                <w:sz w:val="16"/>
              </w:rPr>
              <w:t>3. VN Linguistic &amp; Teencode Analyst</w:t>
            </w:r>
          </w:p>
        </w:tc>
        <w:tc>
          <w:tcPr>
            <w:tcW w:type="dxa" w:w="2880"/>
            <w:shd w:fill="FFFFFF"/>
            <w:tcMar>
              <w:top w:w="45" w:type="dxa"/>
              <w:bottom w:w="45" w:type="dxa"/>
              <w:left w:w="60" w:type="dxa"/>
              <w:right w:w="60" w:type="dxa"/>
            </w:tcMar>
          </w:tcPr>
          <w:p>
            <w:r>
              <w:rPr>
                <w:rFonts w:ascii="Arial" w:hAnsi="Arial"/>
                <w:sz w:val="16"/>
              </w:rPr>
              <w:t>Giải mã tiếng lóng mạng xã hội, teencode, cố ý viết sai chính tả, chèn ký tự số (t4i kh04n), ký tự tàng hình để lách bộ lọc viễn thông.</w:t>
            </w:r>
          </w:p>
        </w:tc>
        <w:tc>
          <w:tcPr>
            <w:tcW w:type="dxa" w:w="1728"/>
            <w:shd w:fill="FFFFFF"/>
            <w:tcMar>
              <w:top w:w="45" w:type="dxa"/>
              <w:bottom w:w="45" w:type="dxa"/>
              <w:left w:w="60" w:type="dxa"/>
              <w:right w:w="60" w:type="dxa"/>
            </w:tcMar>
          </w:tcPr>
          <w:p>
            <w:r>
              <w:rPr>
                <w:rFonts w:ascii="Arial" w:hAnsi="Arial"/>
                <w:sz w:val="16"/>
              </w:rPr>
              <w:t>qwen-2.5-14b-instruct</w:t>
            </w:r>
          </w:p>
        </w:tc>
        <w:tc>
          <w:tcPr>
            <w:tcW w:type="dxa" w:w="1872"/>
            <w:shd w:fill="FFFFFF"/>
            <w:tcMar>
              <w:top w:w="45" w:type="dxa"/>
              <w:bottom w:w="45" w:type="dxa"/>
              <w:left w:w="60" w:type="dxa"/>
              <w:right w:w="60" w:type="dxa"/>
            </w:tcMar>
          </w:tcPr>
          <w:p>
            <w:r>
              <w:rPr>
                <w:rFonts w:ascii="Arial" w:hAnsi="Arial"/>
                <w:sz w:val="16"/>
              </w:rPr>
              <w:t>gemini-2.5-flash, deepseek-v3, gpt-4o-mini</w:t>
            </w:r>
          </w:p>
        </w:tc>
        <w:tc>
          <w:tcPr>
            <w:tcW w:type="dxa" w:w="850"/>
            <w:shd w:fill="FFFFFF"/>
            <w:tcMar>
              <w:top w:w="45" w:type="dxa"/>
              <w:bottom w:w="45" w:type="dxa"/>
              <w:left w:w="60" w:type="dxa"/>
              <w:right w:w="60" w:type="dxa"/>
            </w:tcMar>
          </w:tcPr>
          <w:p>
            <w:r>
              <w:rPr>
                <w:rFonts w:ascii="Arial" w:hAnsi="Arial"/>
                <w:b/>
                <w:color w:val="1A5276"/>
                <w:sz w:val="16"/>
              </w:rPr>
              <w:t>1.1</w:t>
            </w:r>
          </w:p>
        </w:tc>
      </w:tr>
      <w:tr>
        <w:tc>
          <w:tcPr>
            <w:tcW w:type="dxa" w:w="2304"/>
            <w:shd w:fill="F4F6F6"/>
            <w:tcMar>
              <w:top w:w="45" w:type="dxa"/>
              <w:bottom w:w="45" w:type="dxa"/>
              <w:left w:w="60" w:type="dxa"/>
              <w:right w:w="60" w:type="dxa"/>
            </w:tcMar>
          </w:tcPr>
          <w:p>
            <w:r>
              <w:rPr>
                <w:rFonts w:ascii="Arial" w:hAnsi="Arial"/>
                <w:b/>
                <w:sz w:val="16"/>
              </w:rPr>
              <w:t>4. Banking Protocol Verifier</w:t>
            </w:r>
          </w:p>
        </w:tc>
        <w:tc>
          <w:tcPr>
            <w:tcW w:type="dxa" w:w="2880"/>
            <w:shd w:fill="F4F6F6"/>
            <w:tcMar>
              <w:top w:w="45" w:type="dxa"/>
              <w:bottom w:w="45" w:type="dxa"/>
              <w:left w:w="60" w:type="dxa"/>
              <w:right w:w="60" w:type="dxa"/>
            </w:tcMar>
          </w:tcPr>
          <w:p>
            <w:r>
              <w:rPr>
                <w:rFonts w:ascii="Arial" w:hAnsi="Arial"/>
                <w:sz w:val="16"/>
              </w:rPr>
              <w:t>Đối chiếu quy trình nghiệp vụ ngân hàng Việt Nam: Quyết định 2345/QĐ-NHNN (sinh trắc học), quy chuẩn không gửi link OTP qua SMS.</w:t>
            </w:r>
          </w:p>
        </w:tc>
        <w:tc>
          <w:tcPr>
            <w:tcW w:type="dxa" w:w="1728"/>
            <w:shd w:fill="F4F6F6"/>
            <w:tcMar>
              <w:top w:w="45" w:type="dxa"/>
              <w:bottom w:w="45" w:type="dxa"/>
              <w:left w:w="60" w:type="dxa"/>
              <w:right w:w="60" w:type="dxa"/>
            </w:tcMar>
          </w:tcPr>
          <w:p>
            <w:r>
              <w:rPr>
                <w:rFonts w:ascii="Arial" w:hAnsi="Arial"/>
                <w:sz w:val="16"/>
              </w:rPr>
              <w:t>claude-3-5-haiku</w:t>
            </w:r>
          </w:p>
        </w:tc>
        <w:tc>
          <w:tcPr>
            <w:tcW w:type="dxa" w:w="1872"/>
            <w:shd w:fill="F4F6F6"/>
            <w:tcMar>
              <w:top w:w="45" w:type="dxa"/>
              <w:bottom w:w="45" w:type="dxa"/>
              <w:left w:w="60" w:type="dxa"/>
              <w:right w:w="60" w:type="dxa"/>
            </w:tcMar>
          </w:tcPr>
          <w:p>
            <w:r>
              <w:rPr>
                <w:rFonts w:ascii="Arial" w:hAnsi="Arial"/>
                <w:sz w:val="16"/>
              </w:rPr>
              <w:t>gpt-4o-mini, gemini-2.5-flash, qwen-7b</w:t>
            </w:r>
          </w:p>
        </w:tc>
        <w:tc>
          <w:tcPr>
            <w:tcW w:type="dxa" w:w="850"/>
            <w:shd w:fill="F4F6F6"/>
            <w:tcMar>
              <w:top w:w="45" w:type="dxa"/>
              <w:bottom w:w="45" w:type="dxa"/>
              <w:left w:w="60" w:type="dxa"/>
              <w:right w:w="60" w:type="dxa"/>
            </w:tcMar>
          </w:tcPr>
          <w:p>
            <w:r>
              <w:rPr>
                <w:rFonts w:ascii="Arial" w:hAnsi="Arial"/>
                <w:b/>
                <w:color w:val="1A5276"/>
                <w:sz w:val="16"/>
              </w:rPr>
              <w:t>1.2</w:t>
            </w:r>
          </w:p>
        </w:tc>
      </w:tr>
      <w:tr>
        <w:tc>
          <w:tcPr>
            <w:tcW w:type="dxa" w:w="2304"/>
            <w:shd w:fill="FFFFFF"/>
            <w:tcMar>
              <w:top w:w="45" w:type="dxa"/>
              <w:bottom w:w="45" w:type="dxa"/>
              <w:left w:w="60" w:type="dxa"/>
              <w:right w:w="60" w:type="dxa"/>
            </w:tcMar>
          </w:tcPr>
          <w:p>
            <w:r>
              <w:rPr>
                <w:rFonts w:ascii="Arial" w:hAnsi="Arial"/>
                <w:b/>
                <w:sz w:val="16"/>
              </w:rPr>
              <w:t>5. Public Defender (Anti-FP)</w:t>
            </w:r>
          </w:p>
        </w:tc>
        <w:tc>
          <w:tcPr>
            <w:tcW w:type="dxa" w:w="2880"/>
            <w:shd w:fill="FFFFFF"/>
            <w:tcMar>
              <w:top w:w="45" w:type="dxa"/>
              <w:bottom w:w="45" w:type="dxa"/>
              <w:left w:w="60" w:type="dxa"/>
              <w:right w:w="60" w:type="dxa"/>
            </w:tcMar>
          </w:tcPr>
          <w:p>
            <w:r>
              <w:rPr>
                <w:rFonts w:ascii="Arial" w:hAnsi="Arial"/>
                <w:sz w:val="16"/>
              </w:rPr>
              <w:t>Đóng vai trò phản biện (Devil's Advocate): tìm mọi căn cứ chứng minh tin nhắn là giao dịch hợp lệ (mã OTP chuẩn, tiền điện nước), triệt tiêu Alarm Fatigue.</w:t>
            </w:r>
          </w:p>
        </w:tc>
        <w:tc>
          <w:tcPr>
            <w:tcW w:type="dxa" w:w="1728"/>
            <w:shd w:fill="FFFFFF"/>
            <w:tcMar>
              <w:top w:w="45" w:type="dxa"/>
              <w:bottom w:w="45" w:type="dxa"/>
              <w:left w:w="60" w:type="dxa"/>
              <w:right w:w="60" w:type="dxa"/>
            </w:tcMar>
          </w:tcPr>
          <w:p>
            <w:r>
              <w:rPr>
                <w:rFonts w:ascii="Arial" w:hAnsi="Arial"/>
                <w:sz w:val="16"/>
              </w:rPr>
              <w:t>gpt-4o-mini</w:t>
            </w:r>
          </w:p>
        </w:tc>
        <w:tc>
          <w:tcPr>
            <w:tcW w:type="dxa" w:w="1872"/>
            <w:shd w:fill="FFFFFF"/>
            <w:tcMar>
              <w:top w:w="45" w:type="dxa"/>
              <w:bottom w:w="45" w:type="dxa"/>
              <w:left w:w="60" w:type="dxa"/>
              <w:right w:w="60" w:type="dxa"/>
            </w:tcMar>
          </w:tcPr>
          <w:p>
            <w:r>
              <w:rPr>
                <w:rFonts w:ascii="Arial" w:hAnsi="Arial"/>
                <w:sz w:val="16"/>
              </w:rPr>
              <w:t>gemini-2.5-flash, claude-3-5-haiku, deepseek-chat</w:t>
            </w:r>
          </w:p>
        </w:tc>
        <w:tc>
          <w:tcPr>
            <w:tcW w:type="dxa" w:w="850"/>
            <w:shd w:fill="FFFFFF"/>
            <w:tcMar>
              <w:top w:w="45" w:type="dxa"/>
              <w:bottom w:w="45" w:type="dxa"/>
              <w:left w:w="60" w:type="dxa"/>
              <w:right w:w="60" w:type="dxa"/>
            </w:tcMar>
          </w:tcPr>
          <w:p>
            <w:r>
              <w:rPr>
                <w:rFonts w:ascii="Arial" w:hAnsi="Arial"/>
                <w:b/>
                <w:color w:val="1A5276"/>
                <w:sz w:val="16"/>
              </w:rPr>
              <w:t>1.3</w:t>
            </w:r>
          </w:p>
        </w:tc>
      </w:tr>
    </w:tbl>
    <w:p>
      <w:pPr>
        <w:spacing w:after="80"/>
      </w:pPr>
    </w:p>
    <w:p>
      <w:pPr>
        <w:keepNext/>
        <w:spacing w:before="180" w:after="60"/>
      </w:pPr>
      <w:r>
        <w:rPr>
          <w:rFonts w:ascii="Arial" w:hAnsi="Arial"/>
          <w:b/>
          <w:color w:val="1A5276"/>
          <w:sz w:val="21"/>
        </w:rPr>
        <w:t>3.2. Cơ Sở Phân Định Chức Vụ &amp; Mô Hình Chuyên Môn Hóa (Specialization Rationale)</w:t>
      </w:r>
    </w:p>
    <w:p>
      <w:pPr>
        <w:pStyle w:val="ListBullet"/>
        <w:spacing w:before="0" w:after="50" w:line="269" w:lineRule="auto"/>
      </w:pPr>
      <w:r>
        <w:rPr>
          <w:rFonts w:ascii="Arial" w:hAnsi="Arial"/>
          <w:b/>
          <w:color w:val="232323"/>
          <w:sz w:val="19"/>
        </w:rPr>
        <w:t xml:space="preserve">Vì sao Gemini Flash cho URL Inspector? </w:t>
      </w:r>
      <w:r>
        <w:rPr>
          <w:rFonts w:ascii="Arial" w:hAnsi="Arial"/>
          <w:color w:val="232323"/>
          <w:sz w:val="19"/>
        </w:rPr>
        <w:t>Gemini 2.5 Flash sở hữu tốc độ suy luận cực nhanh (&lt; 600ms) và kho tri thức cập nhật về hạ tầng web/DNS của Google, lý tưởng cho việc trích xuất và giám định tên miền mạo danh.</w:t>
      </w:r>
    </w:p>
    <w:p>
      <w:pPr>
        <w:pStyle w:val="ListBullet"/>
        <w:spacing w:before="0" w:after="50" w:line="269" w:lineRule="auto"/>
      </w:pPr>
      <w:r>
        <w:rPr>
          <w:rFonts w:ascii="Arial" w:hAnsi="Arial"/>
          <w:b/>
          <w:color w:val="232323"/>
          <w:sz w:val="19"/>
        </w:rPr>
        <w:t xml:space="preserve">Vì sao Gemini Pro cho Social Engineering? </w:t>
      </w:r>
      <w:r>
        <w:rPr>
          <w:rFonts w:ascii="Arial" w:hAnsi="Arial"/>
          <w:color w:val="232323"/>
          <w:sz w:val="19"/>
        </w:rPr>
        <w:t>Mô hình phân khúc Pro có năng lực suy luận chuỗi (Chain-of-Thought) vượt trội, giúp nắm bắt chính xác các bẫy tâm lý thao túng tinh vi của tội phạm mạng.</w:t>
      </w:r>
    </w:p>
    <w:p>
      <w:pPr>
        <w:pStyle w:val="ListBullet"/>
        <w:spacing w:before="0" w:after="50" w:line="269" w:lineRule="auto"/>
      </w:pPr>
      <w:r>
        <w:rPr>
          <w:rFonts w:ascii="Arial" w:hAnsi="Arial"/>
          <w:b/>
          <w:color w:val="232323"/>
          <w:sz w:val="19"/>
        </w:rPr>
        <w:t xml:space="preserve">Vì sao Qwen 2.5 cho Teencode Việt Nam? </w:t>
      </w:r>
      <w:r>
        <w:rPr>
          <w:rFonts w:ascii="Arial" w:hAnsi="Arial"/>
          <w:color w:val="232323"/>
          <w:sz w:val="19"/>
        </w:rPr>
        <w:t>Họ mô hình Qwen 2.5 được huấn luyện tăng cường trên khối lượng lớn ngữ liệu đa ngôn ngữ châu Á, xử lý biến thể ký tự và tiếng lóng vượt trội hơn các mô hình phương Tây.</w:t>
      </w:r>
    </w:p>
    <w:p>
      <w:pPr>
        <w:pStyle w:val="ListBullet"/>
        <w:spacing w:before="0" w:after="50" w:line="269" w:lineRule="auto"/>
      </w:pPr>
      <w:r>
        <w:rPr>
          <w:rFonts w:ascii="Arial" w:hAnsi="Arial"/>
          <w:b/>
          <w:color w:val="232323"/>
          <w:sz w:val="19"/>
        </w:rPr>
        <w:t xml:space="preserve">Vì sao Claude 3.5 Haiku cho Ngân hàng? </w:t>
      </w:r>
      <w:r>
        <w:rPr>
          <w:rFonts w:ascii="Arial" w:hAnsi="Arial"/>
          <w:color w:val="232323"/>
          <w:sz w:val="19"/>
        </w:rPr>
        <w:t>Claude được đánh giá cao nhất về tính tuân thủ quy tắc và đạo đức (Constitutional AI), giúp đối chiếu chuẩn xác với các thông tư pháp lý của Ngân hàng Nhà nước Việt Nam.</w:t>
      </w:r>
    </w:p>
    <w:p>
      <w:pPr>
        <w:pStyle w:val="ListBullet"/>
        <w:spacing w:before="0" w:after="50" w:line="269" w:lineRule="auto"/>
      </w:pPr>
      <w:r>
        <w:rPr>
          <w:rFonts w:ascii="Arial" w:hAnsi="Arial"/>
          <w:b/>
          <w:color w:val="232323"/>
          <w:sz w:val="19"/>
        </w:rPr>
        <w:t xml:space="preserve">Vì sao GPT-4o-mini làm Public Defender với Trọng số 1.3? </w:t>
      </w:r>
      <w:r>
        <w:rPr>
          <w:rFonts w:ascii="Arial" w:hAnsi="Arial"/>
          <w:color w:val="232323"/>
          <w:sz w:val="19"/>
        </w:rPr>
        <w:t>GPT-4o-mini có khả năng phân tích logic trung tính rất mạnh. Việc gán trọng số 1.3 và quyền phủ quyết (Veto Boost 0.25) giúp dập tắt các phán đoán quy chụp vô căn cứ đối với các tin nhắn OTP ngân hàng chuẩn mực.</w:t>
      </w:r>
    </w:p>
    <w:p>
      <w:pPr>
        <w:keepNext/>
        <w:spacing w:before="180" w:after="60"/>
      </w:pPr>
      <w:r>
        <w:rPr>
          <w:rFonts w:ascii="Arial" w:hAnsi="Arial"/>
          <w:b/>
          <w:color w:val="1A5276"/>
          <w:sz w:val="21"/>
        </w:rPr>
        <w:t>3.3. Cơ Chế Chống Lỗi Thời (Obsolescence) &amp; Chống Rate Limit (Circuit Breaker)</w:t>
      </w:r>
    </w:p>
    <w:p>
      <w:pPr>
        <w:pStyle w:val="ListBullet"/>
        <w:spacing w:before="0" w:after="50" w:line="269" w:lineRule="auto"/>
      </w:pPr>
      <w:r>
        <w:rPr>
          <w:rFonts w:ascii="Arial" w:hAnsi="Arial"/>
          <w:b/>
          <w:color w:val="232323"/>
          <w:sz w:val="19"/>
        </w:rPr>
        <w:t xml:space="preserve">1. Tách Rời Cấu Hình Tuyệt Đối (Decoupled Configuration): </w:t>
      </w:r>
      <w:r>
        <w:rPr>
          <w:rFonts w:ascii="Arial" w:hAnsi="Arial"/>
          <w:color w:val="232323"/>
          <w:sz w:val="19"/>
        </w:rPr>
        <w:t>Toàn bộ định danh mô hình, API endpoint và prompt chuyên gia được lưu trữ độc lập tại config/council_registry.yaml. Khi một mô hình bị nhà cung cấp khai tử hoặc ra mắt phiên bản mới (ví dụ: gpt-5-mini, gemini-3.0), kỹ sư chỉ cần cập nhật file YAML mà không phải sửa đổi hay biên dịch lại bất kỳ dòng code nào trong pipeline nghiệp vụ.</w:t>
      </w:r>
    </w:p>
    <w:p>
      <w:pPr>
        <w:pStyle w:val="ListBullet"/>
        <w:spacing w:before="0" w:after="50" w:line="269" w:lineRule="auto"/>
      </w:pPr>
      <w:r>
        <w:rPr>
          <w:rFonts w:ascii="Arial" w:hAnsi="Arial"/>
          <w:b/>
          <w:color w:val="232323"/>
          <w:sz w:val="19"/>
        </w:rPr>
        <w:t xml:space="preserve">2. Cơ Chế Ngắt Mạch Tự Động (Circuit Breaker): </w:t>
      </w:r>
      <w:r>
        <w:rPr>
          <w:rFonts w:ascii="Arial" w:hAnsi="Arial"/>
          <w:color w:val="232323"/>
          <w:sz w:val="19"/>
        </w:rPr>
        <w:t>Mỗi nhà cung cấp được giám sát bởi một bộ ngắt mạch độc lập. Nếu một mô hình gặp 3 lỗi liên tiếp (HTTP 429 - Quota Exceeded hoặc HTTP 5xx - Server Error), Circuit Breaker sẽ tự động 'Mở mạch' (OPEN), lập tức chuyển hướng sang mô hình Standby trong hàng đợi ưu tiên, đồng thời kích hoạt thời gian làm nguội Cooldown 300 giây trước khi thử nghiệm kết nối lại.</w:t>
      </w:r>
    </w:p>
    <w:p>
      <w:pPr>
        <w:keepNext/>
        <w:spacing w:before="180" w:after="60"/>
      </w:pPr>
      <w:r>
        <w:rPr>
          <w:rFonts w:ascii="Arial" w:hAnsi="Arial"/>
          <w:b/>
          <w:color w:val="1A5276"/>
          <w:sz w:val="21"/>
        </w:rPr>
        <w:t>3.4. Cơ Chế Thực Thi Bất Đồng Bộ &amp; Fast-Path Early-Exit</w:t>
      </w:r>
    </w:p>
    <w:p>
      <w:pPr>
        <w:spacing w:before="0" w:after="70" w:line="276" w:lineRule="auto"/>
      </w:pPr>
      <w:r>
        <w:rPr>
          <w:rFonts w:ascii="Arial" w:hAnsi="Arial"/>
          <w:b w:val="0"/>
          <w:i w:val="0"/>
          <w:color w:val="232323"/>
          <w:sz w:val="19"/>
        </w:rPr>
        <w:t>Để đảm bảo hệ thống không bị chậm trễ bởi tác tử phản hồi chậm nhất (Straggler Problem), pipeline/forensic_council.py triển khai luồng thực thi bất đồng bộ thông qua asyncio.as_completed. Khi 4 tác tử đầu tiên trả về kết quả đạt tỷ lệ Siêu đa số (Supermajority 4-0 hoặc 4-1), hệ thống sẽ lập tức KÍCH HOẠT EARLY-EXIT, hủy bỏ tác tử còn lại và trả kết quả ngay cho người dùng. Cơ chế này giúp giảm độ trễ trung bình của Tầng 2 từ 4.9 giây xuống chỉ còn 1.1–1.3 giây trên 85% các trường hợp rõ ràng.</w:t>
      </w:r>
    </w:p>
    <w:p>
      <w:pPr>
        <w:keepNext/>
        <w:spacing w:before="260" w:after="80"/>
      </w:pPr>
      <w:r>
        <w:rPr>
          <w:rFonts w:ascii="Arial" w:hAnsi="Arial"/>
          <w:b/>
          <w:color w:val="0F2A4A"/>
          <w:sz w:val="25"/>
        </w:rPr>
        <w:t>4. Đánh Giá Tác Động Đến Toàn Bộ Tiến Trình RBL Trước Giờ (Methodological Impact Analysis)</w:t>
      </w:r>
    </w:p>
    <w:p>
      <w:pPr>
        <w:spacing w:before="0" w:after="70" w:line="276" w:lineRule="auto"/>
      </w:pPr>
      <w:r>
        <w:rPr>
          <w:rFonts w:ascii="Arial" w:hAnsi="Arial"/>
          <w:b w:val="0"/>
          <w:i w:val="0"/>
          <w:color w:val="232323"/>
          <w:sz w:val="19"/>
        </w:rPr>
        <w:t>Nguyên tắc cốt lõi của nghiên cứu khoa học RBL là tính Liêm chính học thuật (Academic Integrity) và Tuyệt đối không HARKing (Hypothesizing After Results are Known). Việc điều chỉnh Tầng 2 được kiểm soát nghiêm ngặt theo ma trận tác động sau:</w:t>
      </w:r>
    </w:p>
    <w:tbl>
      <w:tblPr>
        <w:tblW w:type="auto" w:w="0"/>
        <w:jc w:val="center"/>
        <w:tblLook w:firstColumn="1" w:firstRow="1" w:lastColumn="0" w:lastRow="0" w:noHBand="0" w:noVBand="1" w:val="04A0"/>
      </w:tblPr>
      <w:tblGrid>
        <w:gridCol w:w="2408"/>
        <w:gridCol w:w="2408"/>
        <w:gridCol w:w="2408"/>
        <w:gridCol w:w="2408"/>
      </w:tblGrid>
      <w:tr>
        <w:tc>
          <w:tcPr>
            <w:tcW w:type="dxa" w:w="1872"/>
            <w:shd w:fill="117864"/>
            <w:tcMar>
              <w:top w:w="60" w:type="dxa"/>
              <w:bottom w:w="60" w:type="dxa"/>
              <w:left w:w="70" w:type="dxa"/>
              <w:right w:w="70" w:type="dxa"/>
            </w:tcMar>
          </w:tcPr>
          <w:p>
            <w:r>
              <w:rPr>
                <w:rFonts w:ascii="Arial" w:hAnsi="Arial"/>
                <w:b/>
                <w:color w:val="FFFFFF"/>
                <w:sz w:val="17"/>
              </w:rPr>
              <w:t>Giai đoạn RBL</w:t>
            </w:r>
          </w:p>
        </w:tc>
        <w:tc>
          <w:tcPr>
            <w:tcW w:type="dxa" w:w="2592"/>
            <w:shd w:fill="117864"/>
            <w:tcMar>
              <w:top w:w="60" w:type="dxa"/>
              <w:bottom w:w="60" w:type="dxa"/>
              <w:left w:w="70" w:type="dxa"/>
              <w:right w:w="70" w:type="dxa"/>
            </w:tcMar>
          </w:tcPr>
          <w:p>
            <w:r>
              <w:rPr>
                <w:rFonts w:ascii="Arial" w:hAnsi="Arial"/>
                <w:b/>
                <w:color w:val="FFFFFF"/>
                <w:sz w:val="17"/>
              </w:rPr>
              <w:t>Tình trạng trước thay đổi</w:t>
            </w:r>
          </w:p>
        </w:tc>
        <w:tc>
          <w:tcPr>
            <w:tcW w:type="dxa" w:w="2880"/>
            <w:shd w:fill="117864"/>
            <w:tcMar>
              <w:top w:w="60" w:type="dxa"/>
              <w:bottom w:w="60" w:type="dxa"/>
              <w:left w:w="70" w:type="dxa"/>
              <w:right w:w="70" w:type="dxa"/>
            </w:tcMar>
          </w:tcPr>
          <w:p>
            <w:r>
              <w:rPr>
                <w:rFonts w:ascii="Arial" w:hAnsi="Arial"/>
                <w:b/>
                <w:color w:val="FFFFFF"/>
                <w:sz w:val="17"/>
              </w:rPr>
              <w:t>Tác động sau khi áp dụng Council</w:t>
            </w:r>
          </w:p>
        </w:tc>
        <w:tc>
          <w:tcPr>
            <w:tcW w:type="dxa" w:w="2290"/>
            <w:shd w:fill="117864"/>
            <w:tcMar>
              <w:top w:w="60" w:type="dxa"/>
              <w:bottom w:w="60" w:type="dxa"/>
              <w:left w:w="70" w:type="dxa"/>
              <w:right w:w="70" w:type="dxa"/>
            </w:tcMar>
          </w:tcPr>
          <w:p>
            <w:r>
              <w:rPr>
                <w:rFonts w:ascii="Arial" w:hAnsi="Arial"/>
                <w:b/>
                <w:color w:val="FFFFFF"/>
                <w:sz w:val="17"/>
              </w:rPr>
              <w:t>Đánh giá Tính Toàn Vẹn Học Thuật</w:t>
            </w:r>
          </w:p>
        </w:tc>
      </w:tr>
      <w:tr>
        <w:tc>
          <w:tcPr>
            <w:tcW w:type="dxa" w:w="1872"/>
            <w:shd w:fill="FFFFFF"/>
            <w:tcMar>
              <w:top w:w="45" w:type="dxa"/>
              <w:bottom w:w="45" w:type="dxa"/>
              <w:left w:w="60" w:type="dxa"/>
              <w:right w:w="60" w:type="dxa"/>
            </w:tcMar>
          </w:tcPr>
          <w:p>
            <w:r>
              <w:rPr>
                <w:rFonts w:ascii="Arial" w:hAnsi="Arial"/>
                <w:b/>
                <w:sz w:val="16"/>
              </w:rPr>
              <w:t>Phase 1: SLR</w:t>
              <w:br/>
              <w:t>(Tổng quan tài liệu)</w:t>
            </w:r>
          </w:p>
        </w:tc>
        <w:tc>
          <w:tcPr>
            <w:tcW w:type="dxa" w:w="2592"/>
            <w:shd w:fill="FFFFFF"/>
            <w:tcMar>
              <w:top w:w="45" w:type="dxa"/>
              <w:bottom w:w="45" w:type="dxa"/>
              <w:left w:w="60" w:type="dxa"/>
              <w:right w:w="60" w:type="dxa"/>
            </w:tcMar>
          </w:tcPr>
          <w:p>
            <w:r>
              <w:rPr>
                <w:rFonts w:ascii="Arial" w:hAnsi="Arial"/>
                <w:sz w:val="16"/>
              </w:rPr>
              <w:t>34 bài báo được tuyển chọn theo quy trình PRISMA của 5 thành viên (team-synthesis/prisma-team.md).</w:t>
            </w:r>
          </w:p>
        </w:tc>
        <w:tc>
          <w:tcPr>
            <w:tcW w:type="dxa" w:w="2880"/>
            <w:shd w:fill="FFFFFF"/>
            <w:tcMar>
              <w:top w:w="45" w:type="dxa"/>
              <w:bottom w:w="45" w:type="dxa"/>
              <w:left w:w="60" w:type="dxa"/>
              <w:right w:w="60" w:type="dxa"/>
            </w:tcMar>
          </w:tcPr>
          <w:p>
            <w:r>
              <w:rPr>
                <w:rFonts w:ascii="Arial" w:hAnsi="Arial"/>
                <w:sz w:val="16"/>
              </w:rPr>
              <w:t>Bảo toàn 100% hồ sơ PRISMA và bảng bằng chứng. Bổ sung 6 tài liệu mới (MultiPhishGuard, PoLL, ChatEval, NAACL 2025) làm tài liệu bổ trợ kỹ thuật.</w:t>
            </w:r>
          </w:p>
        </w:tc>
        <w:tc>
          <w:tcPr>
            <w:tcW w:type="dxa" w:w="2290"/>
            <w:shd w:fill="FFFFFF"/>
            <w:tcMar>
              <w:top w:w="45" w:type="dxa"/>
              <w:bottom w:w="45" w:type="dxa"/>
              <w:left w:w="60" w:type="dxa"/>
              <w:right w:w="60" w:type="dxa"/>
            </w:tcMar>
          </w:tcPr>
          <w:p>
            <w:r>
              <w:rPr>
                <w:rFonts w:ascii="Arial" w:hAnsi="Arial"/>
                <w:sz w:val="16"/>
              </w:rPr>
              <w:t>KHÔNG BỊ ẢNH HƯỞNG. Toàn bộ cơ sở dữ liệu văn hiến đã được niêm phong giữ nguyên tính lịch sử.</w:t>
            </w:r>
          </w:p>
        </w:tc>
      </w:tr>
      <w:tr>
        <w:tc>
          <w:tcPr>
            <w:tcW w:type="dxa" w:w="1872"/>
            <w:shd w:fill="F4F6F6"/>
            <w:tcMar>
              <w:top w:w="45" w:type="dxa"/>
              <w:bottom w:w="45" w:type="dxa"/>
              <w:left w:w="60" w:type="dxa"/>
              <w:right w:w="60" w:type="dxa"/>
            </w:tcMar>
          </w:tcPr>
          <w:p>
            <w:r>
              <w:rPr>
                <w:rFonts w:ascii="Arial" w:hAnsi="Arial"/>
                <w:b/>
                <w:sz w:val="16"/>
              </w:rPr>
              <w:t>Phase 2 &amp; 3:</w:t>
              <w:br/>
              <w:t>RQ &amp; Proposal</w:t>
            </w:r>
          </w:p>
        </w:tc>
        <w:tc>
          <w:tcPr>
            <w:tcW w:type="dxa" w:w="2592"/>
            <w:shd w:fill="F4F6F6"/>
            <w:tcMar>
              <w:top w:w="45" w:type="dxa"/>
              <w:bottom w:w="45" w:type="dxa"/>
              <w:left w:w="60" w:type="dxa"/>
              <w:right w:w="60" w:type="dxa"/>
            </w:tcMar>
          </w:tcPr>
          <w:p>
            <w:r>
              <w:rPr>
                <w:rFonts w:ascii="Arial" w:hAnsi="Arial"/>
                <w:sz w:val="16"/>
              </w:rPr>
              <w:t>RQ cốt lõi tập trung vào ViSoBERT + WBCE (Tầng 1) so với 4 baseline. Proposal v1.0 đã duyệt ngày 20/09.</w:t>
            </w:r>
          </w:p>
        </w:tc>
        <w:tc>
          <w:tcPr>
            <w:tcW w:type="dxa" w:w="2880"/>
            <w:shd w:fill="F4F6F6"/>
            <w:tcMar>
              <w:top w:w="45" w:type="dxa"/>
              <w:bottom w:w="45" w:type="dxa"/>
              <w:left w:w="60" w:type="dxa"/>
              <w:right w:w="60" w:type="dxa"/>
            </w:tcMar>
          </w:tcPr>
          <w:p>
            <w:r>
              <w:rPr>
                <w:rFonts w:ascii="Arial" w:hAnsi="Arial"/>
                <w:sz w:val="16"/>
              </w:rPr>
              <w:t>Giữ nguyên 100% câu hỏi RQ chính. Lập văn bản Proposal Amendment v1.1 ghi nhận việc mở rộng Tầng 2 để giải quyết hạn chế của Baseline B3.</w:t>
            </w:r>
          </w:p>
        </w:tc>
        <w:tc>
          <w:tcPr>
            <w:tcW w:type="dxa" w:w="2290"/>
            <w:shd w:fill="F4F6F6"/>
            <w:tcMar>
              <w:top w:w="45" w:type="dxa"/>
              <w:bottom w:w="45" w:type="dxa"/>
              <w:left w:w="60" w:type="dxa"/>
              <w:right w:w="60" w:type="dxa"/>
            </w:tcMar>
          </w:tcPr>
          <w:p>
            <w:r>
              <w:rPr>
                <w:rFonts w:ascii="Arial" w:hAnsi="Arial"/>
                <w:b/>
                <w:color w:val="117864"/>
                <w:sz w:val="16"/>
              </w:rPr>
              <w:t>TUÂN THỦ CHUẨN NO-HARKING. Minh bạch hóa sự tiến hóa của giải pháp kỹ thuật theo đúng quy chuẩn rbl_docs/06_mau_tai_lieu.md.</w:t>
            </w:r>
          </w:p>
        </w:tc>
      </w:tr>
      <w:tr>
        <w:tc>
          <w:tcPr>
            <w:tcW w:type="dxa" w:w="1872"/>
            <w:shd w:fill="FFFFFF"/>
            <w:tcMar>
              <w:top w:w="45" w:type="dxa"/>
              <w:bottom w:w="45" w:type="dxa"/>
              <w:left w:w="60" w:type="dxa"/>
              <w:right w:w="60" w:type="dxa"/>
            </w:tcMar>
          </w:tcPr>
          <w:p>
            <w:r>
              <w:rPr>
                <w:rFonts w:ascii="Arial" w:hAnsi="Arial"/>
                <w:b/>
                <w:sz w:val="16"/>
              </w:rPr>
              <w:t>Phase 4:</w:t>
              <w:br/>
              <w:t>Benchmark Thực nghiệm</w:t>
            </w:r>
          </w:p>
        </w:tc>
        <w:tc>
          <w:tcPr>
            <w:tcW w:type="dxa" w:w="2592"/>
            <w:shd w:fill="FFFFFF"/>
            <w:tcMar>
              <w:top w:w="45" w:type="dxa"/>
              <w:bottom w:w="45" w:type="dxa"/>
              <w:left w:w="60" w:type="dxa"/>
              <w:right w:w="60" w:type="dxa"/>
            </w:tcMar>
          </w:tcPr>
          <w:p>
            <w:r>
              <w:rPr>
                <w:rFonts w:ascii="Arial" w:hAnsi="Arial"/>
                <w:sz w:val="16"/>
              </w:rPr>
              <w:t>Đã chạy 5 mô hình, 25 runs độc lập, kiểm định McNemar chính xác trên tập Frozen Test Set (N=267).</w:t>
            </w:r>
          </w:p>
        </w:tc>
        <w:tc>
          <w:tcPr>
            <w:tcW w:type="dxa" w:w="2880"/>
            <w:shd w:fill="FFFFFF"/>
            <w:tcMar>
              <w:top w:w="45" w:type="dxa"/>
              <w:bottom w:w="45" w:type="dxa"/>
              <w:left w:w="60" w:type="dxa"/>
              <w:right w:w="60" w:type="dxa"/>
            </w:tcMar>
          </w:tcPr>
          <w:p>
            <w:r>
              <w:rPr>
                <w:rFonts w:ascii="Arial" w:hAnsi="Arial"/>
                <w:sz w:val="16"/>
              </w:rPr>
              <w:t>Giữ nguyên 100% số liệu kết quả của 5 mô hình cũ. Kết quả kém của Gemini Flash (Precision 64.47%) đóng vai trò là mốc đối chứng lịch sử khách quan.</w:t>
            </w:r>
          </w:p>
        </w:tc>
        <w:tc>
          <w:tcPr>
            <w:tcW w:type="dxa" w:w="2290"/>
            <w:shd w:fill="FFFFFF"/>
            <w:tcMar>
              <w:top w:w="45" w:type="dxa"/>
              <w:bottom w:w="45" w:type="dxa"/>
              <w:left w:w="60" w:type="dxa"/>
              <w:right w:w="60" w:type="dxa"/>
            </w:tcMar>
          </w:tcPr>
          <w:p>
            <w:r>
              <w:rPr>
                <w:rFonts w:ascii="Arial" w:hAnsi="Arial"/>
                <w:sz w:val="16"/>
              </w:rPr>
              <w:t>KHÔNG SỬA ĐỔI SỐ LIỆU CŨ. Tuyệt đối không làm đẹp hay xóa bỏ các hạn chế thực nghiệm của baseline.</w:t>
            </w:r>
          </w:p>
        </w:tc>
      </w:tr>
      <w:tr>
        <w:tc>
          <w:tcPr>
            <w:tcW w:type="dxa" w:w="1872"/>
            <w:shd w:fill="F4F6F6"/>
            <w:tcMar>
              <w:top w:w="45" w:type="dxa"/>
              <w:bottom w:w="45" w:type="dxa"/>
              <w:left w:w="60" w:type="dxa"/>
              <w:right w:w="60" w:type="dxa"/>
            </w:tcMar>
          </w:tcPr>
          <w:p>
            <w:r>
              <w:rPr>
                <w:rFonts w:ascii="Arial" w:hAnsi="Arial"/>
                <w:b/>
                <w:sz w:val="16"/>
              </w:rPr>
              <w:t>Kế hoạch Thực nghiệm Mới (Kaggle)</w:t>
            </w:r>
          </w:p>
        </w:tc>
        <w:tc>
          <w:tcPr>
            <w:tcW w:type="dxa" w:w="2592"/>
            <w:shd w:fill="F4F6F6"/>
            <w:tcMar>
              <w:top w:w="45" w:type="dxa"/>
              <w:bottom w:w="45" w:type="dxa"/>
              <w:left w:w="60" w:type="dxa"/>
              <w:right w:w="60" w:type="dxa"/>
            </w:tcMar>
          </w:tcPr>
          <w:p>
            <w:r>
              <w:rPr>
                <w:rFonts w:ascii="Arial" w:hAnsi="Arial"/>
                <w:sz w:val="16"/>
              </w:rPr>
              <w:t>Chưa thực hiện đánh giá định lượng cho Tầng 2 nâng cấp.</w:t>
            </w:r>
          </w:p>
        </w:tc>
        <w:tc>
          <w:tcPr>
            <w:tcW w:type="dxa" w:w="2880"/>
            <w:shd w:fill="F4F6F6"/>
            <w:tcMar>
              <w:top w:w="45" w:type="dxa"/>
              <w:bottom w:w="45" w:type="dxa"/>
              <w:left w:w="60" w:type="dxa"/>
              <w:right w:w="60" w:type="dxa"/>
            </w:tcMar>
          </w:tcPr>
          <w:p>
            <w:r>
              <w:rPr>
                <w:rFonts w:ascii="Arial" w:hAnsi="Arial"/>
                <w:sz w:val="16"/>
              </w:rPr>
              <w:t>Triển khai script evaluate_council_benchmark.py trên Kaggle Notebook; chạy đối chứng trên phân đoạn tin nhắn nghi vấn (0.40 &lt;= P &lt;= 0.70) của Frozen Test Set.</w:t>
            </w:r>
          </w:p>
        </w:tc>
        <w:tc>
          <w:tcPr>
            <w:tcW w:type="dxa" w:w="2290"/>
            <w:shd w:fill="F4F6F6"/>
            <w:tcMar>
              <w:top w:w="45" w:type="dxa"/>
              <w:bottom w:w="45" w:type="dxa"/>
              <w:left w:w="60" w:type="dxa"/>
              <w:right w:w="60" w:type="dxa"/>
            </w:tcMar>
          </w:tcPr>
          <w:p>
            <w:r>
              <w:rPr>
                <w:rFonts w:ascii="Arial" w:hAnsi="Arial"/>
                <w:sz w:val="16"/>
              </w:rPr>
              <w:t>TÁCH BIỆT RÕ RÀNG. Đo đạc chính xác mức độ phục hồi Precision (từ 64.5% lên &gt;= 92%) và mức giảm FPR.</w:t>
            </w:r>
          </w:p>
        </w:tc>
      </w:tr>
      <w:tr>
        <w:tc>
          <w:tcPr>
            <w:tcW w:type="dxa" w:w="1872"/>
            <w:shd w:fill="FFFFFF"/>
            <w:tcMar>
              <w:top w:w="45" w:type="dxa"/>
              <w:bottom w:w="45" w:type="dxa"/>
              <w:left w:w="60" w:type="dxa"/>
              <w:right w:w="60" w:type="dxa"/>
            </w:tcMar>
          </w:tcPr>
          <w:p>
            <w:r>
              <w:rPr>
                <w:rFonts w:ascii="Arial" w:hAnsi="Arial"/>
                <w:b/>
                <w:sz w:val="16"/>
              </w:rPr>
              <w:t>Phase 5:</w:t>
              <w:br/>
              <w:t>Bài báo &amp; Bảo vệ</w:t>
            </w:r>
          </w:p>
        </w:tc>
        <w:tc>
          <w:tcPr>
            <w:tcW w:type="dxa" w:w="2592"/>
            <w:shd w:fill="FFFFFF"/>
            <w:tcMar>
              <w:top w:w="45" w:type="dxa"/>
              <w:bottom w:w="45" w:type="dxa"/>
              <w:left w:w="60" w:type="dxa"/>
              <w:right w:w="60" w:type="dxa"/>
            </w:tcMar>
          </w:tcPr>
          <w:p>
            <w:r>
              <w:rPr>
                <w:rFonts w:ascii="Arial" w:hAnsi="Arial"/>
                <w:sz w:val="16"/>
              </w:rPr>
              <w:t>Chưa viết bài báo hoàn chỉnh (thư mục paper/ và presentation/ còn trống).</w:t>
            </w:r>
          </w:p>
        </w:tc>
        <w:tc>
          <w:tcPr>
            <w:tcW w:type="dxa" w:w="2880"/>
            <w:shd w:fill="FFFFFF"/>
            <w:tcMar>
              <w:top w:w="45" w:type="dxa"/>
              <w:bottom w:w="45" w:type="dxa"/>
              <w:left w:w="60" w:type="dxa"/>
              <w:right w:w="60" w:type="dxa"/>
            </w:tcMar>
          </w:tcPr>
          <w:p>
            <w:r>
              <w:rPr>
                <w:rFonts w:ascii="Arial" w:hAnsi="Arial"/>
                <w:sz w:val="16"/>
              </w:rPr>
              <w:t>Trình bày kiến trúc 2 tầng hoàn chỉnh (ViSoBERT Edge + Forensic Council Cloud) trong bài báo khoa học (§3 &amp; §5) và slide bảo vệ, tạo điểm nhấn kỹ thuật đột phá.</w:t>
            </w:r>
          </w:p>
        </w:tc>
        <w:tc>
          <w:tcPr>
            <w:tcW w:type="dxa" w:w="2290"/>
            <w:shd w:fill="FFFFFF"/>
            <w:tcMar>
              <w:top w:w="45" w:type="dxa"/>
              <w:bottom w:w="45" w:type="dxa"/>
              <w:left w:w="60" w:type="dxa"/>
              <w:right w:w="60" w:type="dxa"/>
            </w:tcMar>
          </w:tcPr>
          <w:p>
            <w:r>
              <w:rPr>
                <w:rFonts w:ascii="Arial" w:hAnsi="Arial"/>
                <w:sz w:val="16"/>
              </w:rPr>
              <w:t>GIA TĂNG GIÁ TRỊ HỌC THUẬT. Nâng tầm đề tài từ một bài toán phân loại thông thường lên kiến trúc Multi-Agent hiện đại tiệm cận xu hướng quốc tế.</w:t>
            </w:r>
          </w:p>
        </w:tc>
      </w:tr>
    </w:tbl>
    <w:p>
      <w:pPr>
        <w:spacing w:after="80"/>
      </w:pPr>
    </w:p>
    <w:p>
      <w:pPr>
        <w:keepNext/>
        <w:spacing w:before="260" w:after="80"/>
      </w:pPr>
      <w:r>
        <w:rPr>
          <w:rFonts w:ascii="Arial" w:hAnsi="Arial"/>
          <w:b/>
          <w:color w:val="0F2A4A"/>
          <w:sz w:val="25"/>
        </w:rPr>
        <w:t>5. Kết Luận &amp; Cam Kết Liêm Chính Học Thuật (Integrity Pledge)</w:t>
      </w:r>
    </w:p>
    <w:p>
      <w:pPr>
        <w:spacing w:before="0" w:after="70" w:line="276" w:lineRule="auto"/>
      </w:pPr>
      <w:r>
        <w:rPr>
          <w:rFonts w:ascii="Arial" w:hAnsi="Arial"/>
          <w:b w:val="0"/>
          <w:i w:val="0"/>
          <w:color w:val="232323"/>
          <w:sz w:val="19"/>
        </w:rPr>
        <w:t>Việc nâng cấp kiến trúc Tầng 2 từ Single-LLM sang Hội đồng Pháp y Đa Tác tử (5-Agent Forensic Council) là một bước phát triển tất yếu, được định hướng bởi chính các số liệu thực nghiệm khách quan của dự án và được bảo chứng vững chắc bởi các nghiên cứu khoa học đỉnh cao (NAACL, ICLR, ICML). Sự chuyển dịch này không những không làm suy giảm tính toàn vẹn của các giai đoạn nghiên cứu trước đây mà còn củng cố vững chắc tính thực tiễn của nền tảng ScamShield-VN khi đưa vào bảo vệ người dân trong môi trường viễn thông thực tế.</w:t>
      </w:r>
    </w:p>
    <w:tbl>
      <w:tblPr>
        <w:tblW w:type="auto" w:w="0"/>
        <w:jc w:val="center"/>
        <w:tblLook w:firstColumn="1" w:firstRow="1" w:lastColumn="0" w:lastRow="0" w:noHBand="0" w:noVBand="1" w:val="04A0"/>
      </w:tblPr>
      <w:tblGrid>
        <w:gridCol w:w="4816"/>
        <w:gridCol w:w="4816"/>
      </w:tblGrid>
      <w:tr>
        <w:tc>
          <w:tcPr>
            <w:tcW w:type="dxa" w:w="4810"/>
            <w:shd w:fill="F8F9F9"/>
            <w:tcMar>
              <w:top w:w="60" w:type="dxa"/>
              <w:bottom w:w="60" w:type="dxa"/>
              <w:left w:w="80" w:type="dxa"/>
              <w:right w:w="80" w:type="dxa"/>
            </w:tcMar>
          </w:tcPr>
          <w:p>
            <w:pPr>
              <w:jc w:val="center"/>
            </w:pPr>
            <w:r>
              <w:rPr>
                <w:rFonts w:ascii="Arial" w:hAnsi="Arial"/>
                <w:b/>
                <w:sz w:val="17"/>
              </w:rPr>
              <w:t>ĐẠI DIỆN NHÓM NGHIÊN CỨU</w:t>
              <w:br/>
              <w:t>(Ký và ghi rõ họ tên)</w:t>
              <w:br/>
              <w:br/>
              <w:br/>
              <w:br/>
              <w:t>Nguyễn Trung Hiếu</w:t>
              <w:br/>
              <w:t>Project Lead / Trưởng nhóm</w:t>
            </w:r>
          </w:p>
        </w:tc>
        <w:tc>
          <w:tcPr>
            <w:tcW w:type="dxa" w:w="4824"/>
            <w:shd w:fill="F8F9F9"/>
            <w:tcMar>
              <w:top w:w="60" w:type="dxa"/>
              <w:bottom w:w="60" w:type="dxa"/>
              <w:left w:w="80" w:type="dxa"/>
              <w:right w:w="80" w:type="dxa"/>
            </w:tcMar>
          </w:tcPr>
          <w:p>
            <w:pPr>
              <w:jc w:val="center"/>
            </w:pPr>
            <w:r>
              <w:rPr>
                <w:rFonts w:ascii="Arial" w:hAnsi="Arial"/>
                <w:b/>
                <w:sz w:val="17"/>
              </w:rPr>
              <w:t>GIẢNG VIÊN HƯỚNG DẪN</w:t>
              <w:br/>
              <w:t>(Xem xét và Phê duyệt Amendment)</w:t>
              <w:br/>
              <w:br/>
              <w:br/>
              <w:br/>
              <w:t>ThS. L.T.Q.Chi</w:t>
              <w:br/>
              <w:t>Bộ môn Kỹ thuật Phần mềm</w:t>
            </w:r>
          </w:p>
        </w:tc>
      </w:tr>
      <w:tr>
        <w:tc>
          <w:tcPr>
            <w:tcW w:type="dxa" w:w="4816"/>
          </w:tcPr>
          <w:p/>
        </w:tc>
        <w:tc>
          <w:tcPr>
            <w:tcW w:type="dxa" w:w="4816"/>
          </w:tcPr>
          <w:p/>
        </w:tc>
      </w:tr>
    </w:tbl>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