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color w:val="718096"/>
          <w:sz w:val="22"/>
        </w:rPr>
        <w:t>TÀI LIỆU HƯỚNG DẪN KỸ THUẬT RBL (RESEARCH-BASED LEARNING)</w:t>
        <w:br/>
      </w:r>
      <w:r>
        <w:rPr>
          <w:b/>
          <w:color w:val="1A365D"/>
          <w:sz w:val="36"/>
        </w:rPr>
        <w:t>SỔ TAY THIẾT LẬP OVERLEAF &amp; QUY CHUẨN SOẠN THẢO BÀI BÁO KHOA HỌC</w:t>
      </w:r>
    </w:p>
    <w:p>
      <w:pPr>
        <w:spacing w:after="280"/>
        <w:jc w:val="center"/>
      </w:pPr>
      <w:r>
        <w:rPr>
          <w:i/>
          <w:color w:val="4A5568"/>
          <w:sz w:val="20"/>
        </w:rPr>
        <w:t>Đề tài: ScamShield-VN — Evidence-Grounded Vietnamese Scam &amp; Phishing Detection Platform</w:t>
        <w:br/>
        <w:t>Áp dụng cho: Cả 5 thành viên nhóm nghiên cứu &amp; AI Coding Assistants (Antigravity, Gemini, Claude)</w:t>
      </w:r>
    </w:p>
    <w:tbl>
      <w:tblPr>
        <w:tblW w:type="auto" w:w="0"/>
        <w:jc w:val="center"/>
        <w:tblLook w:firstColumn="1" w:firstRow="1" w:lastColumn="0" w:lastRow="0" w:noHBand="0" w:noVBand="1" w:val="04A0"/>
        <w:tblBorders>
          <w:top w:val="single" w:sz="6" w:space="0" w:color="CBD5E0"/>
          <w:bottom w:val="single" w:sz="6" w:space="0" w:color="CBD5E0"/>
          <w:insideH w:val="single" w:sz="6" w:space="0" w:color="CBD5E0"/>
          <w:insideV w:val="none"/>
          <w:left w:val="none"/>
          <w:right w:val="none"/>
        </w:tblBorders>
      </w:tblPr>
      <w:tblGrid>
        <w:gridCol w:w="3120"/>
        <w:gridCol w:w="3120"/>
        <w:gridCol w:w="3120"/>
      </w:tblGrid>
      <w:tr>
        <w:tc>
          <w:tcPr>
            <w:tcW w:type="dxa" w:w="3120"/>
            <w:shd w:fill="1A365D"/>
            <w:tcMar>
              <w:top w:w="80" w:type="dxa"/>
              <w:bottom w:w="80" w:type="dxa"/>
              <w:left w:w="100" w:type="dxa"/>
              <w:right w:w="100" w:type="dxa"/>
            </w:tcMar>
          </w:tcPr>
          <w:p>
            <w:pPr>
              <w:jc w:val="center"/>
            </w:pPr>
            <w:r>
              <w:rPr>
                <w:b/>
                <w:color w:val="FFFFFF"/>
                <w:sz w:val="19"/>
              </w:rPr>
              <w:t>Chuẩn Hội Nghị</w:t>
            </w:r>
          </w:p>
        </w:tc>
        <w:tc>
          <w:tcPr>
            <w:tcW w:type="dxa" w:w="3120"/>
            <w:shd w:fill="1A365D"/>
            <w:tcMar>
              <w:top w:w="80" w:type="dxa"/>
              <w:bottom w:w="80" w:type="dxa"/>
              <w:left w:w="100" w:type="dxa"/>
              <w:right w:w="100" w:type="dxa"/>
            </w:tcMar>
          </w:tcPr>
          <w:p>
            <w:pPr>
              <w:jc w:val="center"/>
            </w:pPr>
            <w:r>
              <w:rPr>
                <w:b/>
                <w:color w:val="FFFFFF"/>
                <w:sz w:val="19"/>
              </w:rPr>
              <w:t>Nguyên Tắc Dữ Liệu</w:t>
            </w:r>
          </w:p>
        </w:tc>
        <w:tc>
          <w:tcPr>
            <w:tcW w:type="dxa" w:w="3120"/>
            <w:shd w:fill="1A365D"/>
            <w:tcMar>
              <w:top w:w="80" w:type="dxa"/>
              <w:bottom w:w="80" w:type="dxa"/>
              <w:left w:w="100" w:type="dxa"/>
              <w:right w:w="100" w:type="dxa"/>
            </w:tcMar>
          </w:tcPr>
          <w:p>
            <w:pPr>
              <w:jc w:val="center"/>
            </w:pPr>
            <w:r>
              <w:rPr>
                <w:b/>
                <w:color w:val="FFFFFF"/>
                <w:sz w:val="19"/>
              </w:rPr>
              <w:t>Quy Chuẩn AI Check</w:t>
            </w:r>
          </w:p>
        </w:tc>
      </w:tr>
      <w:tr>
        <w:tc>
          <w:tcPr>
            <w:tcW w:type="dxa" w:w="3120"/>
            <w:shd w:fill="F7FAFC"/>
            <w:tcMar>
              <w:top w:w="80" w:type="dxa"/>
              <w:bottom w:w="80" w:type="dxa"/>
              <w:left w:w="100" w:type="dxa"/>
              <w:right w:w="100" w:type="dxa"/>
            </w:tcMar>
          </w:tcPr>
          <w:p>
            <w:pPr>
              <w:jc w:val="center"/>
            </w:pPr>
            <w:r>
              <w:rPr>
                <w:color w:val="2D3748"/>
                <w:sz w:val="18"/>
              </w:rPr>
              <w:t>IEEEtran Conference (2-column)</w:t>
            </w:r>
          </w:p>
        </w:tc>
        <w:tc>
          <w:tcPr>
            <w:tcW w:type="dxa" w:w="3120"/>
            <w:shd w:fill="F7FAFC"/>
            <w:tcMar>
              <w:top w:w="80" w:type="dxa"/>
              <w:bottom w:w="80" w:type="dxa"/>
              <w:left w:w="100" w:type="dxa"/>
              <w:right w:w="100" w:type="dxa"/>
            </w:tcMar>
          </w:tcPr>
          <w:p>
            <w:pPr>
              <w:jc w:val="center"/>
            </w:pPr>
            <w:r>
              <w:rPr>
                <w:color w:val="2D3748"/>
                <w:sz w:val="18"/>
              </w:rPr>
              <w:t>Single Source of Truth (SSOT)</w:t>
            </w:r>
          </w:p>
        </w:tc>
        <w:tc>
          <w:tcPr>
            <w:tcW w:type="dxa" w:w="3120"/>
            <w:shd w:fill="F7FAFC"/>
            <w:tcMar>
              <w:top w:w="80" w:type="dxa"/>
              <w:bottom w:w="80" w:type="dxa"/>
              <w:left w:w="100" w:type="dxa"/>
              <w:right w:w="100" w:type="dxa"/>
            </w:tcMar>
          </w:tcPr>
          <w:p>
            <w:pPr>
              <w:jc w:val="center"/>
            </w:pPr>
            <w:r>
              <w:rPr>
                <w:color w:val="2D3748"/>
                <w:sz w:val="18"/>
              </w:rPr>
              <w:t>AI Score &lt;= 18% (RBL-5b)</w:t>
            </w:r>
          </w:p>
        </w:tc>
      </w:tr>
    </w:tbl>
    <w:p>
      <w:pPr>
        <w:spacing w:after="160"/>
      </w:pPr>
    </w:p>
    <w:p>
      <w:pPr>
        <w:keepNext/>
        <w:spacing w:before="320" w:after="120"/>
      </w:pPr>
      <w:r>
        <w:rPr>
          <w:rFonts w:ascii="Arial" w:hAnsi="Arial"/>
          <w:b/>
          <w:color w:val="1A365D"/>
          <w:sz w:val="28"/>
        </w:rPr>
        <w:t>PHẦN 1: TỔNG QUAN &amp; QUY TRÌNH THIẾT LẬP DỰ ÁN TRÊN OVERLEAF</w:t>
      </w:r>
    </w:p>
    <w:p>
      <w:r>
        <w:t xml:space="preserve">Tất cả các tài liệu học thuật của đề tài ScamShield-VN được quản lý tập trung trong thư mục </w:t>
      </w:r>
      <w:r>
        <w:rPr>
          <w:b/>
        </w:rPr>
        <w:t>paper/</w:t>
      </w:r>
      <w:r>
        <w:t xml:space="preserve"> và đã được đóng gói sẵn thành file nén </w:t>
      </w:r>
      <w:r>
        <w:rPr>
          <w:b/>
        </w:rPr>
        <w:t>paper_overleaf.zip</w:t>
      </w:r>
      <w:r>
        <w:t xml:space="preserve"> ở thư mục gốc của repository. Điều này giúp các thành viên có thể đưa lên Overleaf để soạn thảo trực tuyến chỉ với 1 cú click chuột mà không cần cài đặt môi trường TeX phức tạp trên máy tính cá nhân.</w:t>
      </w:r>
    </w:p>
    <w:p>
      <w:pPr>
        <w:keepNext/>
        <w:spacing w:before="240" w:after="80"/>
      </w:pPr>
      <w:r>
        <w:rPr>
          <w:rFonts w:ascii="Arial" w:hAnsi="Arial"/>
          <w:b/>
          <w:color w:val="2B6CB0"/>
          <w:sz w:val="24"/>
        </w:rPr>
        <w:t>1.1. Các bước khởi tạo dự án trên Overleaf từ file Zip</w:t>
      </w:r>
    </w:p>
    <w:p>
      <w:pPr>
        <w:pStyle w:val="ListBullet"/>
        <w:spacing w:before="40" w:after="60" w:line="276" w:lineRule="auto"/>
      </w:pPr>
      <w:r>
        <w:rPr>
          <w:b/>
          <w:color w:val="1A365D"/>
        </w:rPr>
        <w:t xml:space="preserve">Bước 1 (Lấy mã nguồn): </w:t>
      </w:r>
      <w:r>
        <w:t>Tải file paper_overleaf.zip từ thư mục gốc của repository về máy tính.</w:t>
      </w:r>
    </w:p>
    <w:p>
      <w:pPr>
        <w:pStyle w:val="ListBullet"/>
        <w:spacing w:before="40" w:after="60" w:line="276" w:lineRule="auto"/>
      </w:pPr>
      <w:r>
        <w:rPr>
          <w:b/>
          <w:color w:val="1A365D"/>
        </w:rPr>
        <w:t xml:space="preserve">Bước 2 (Vào Overleaf): </w:t>
      </w:r>
      <w:r>
        <w:t>Truy cập trang web https://www.overleaf.com, đăng nhập tài khoản của bạn.</w:t>
      </w:r>
    </w:p>
    <w:p>
      <w:pPr>
        <w:pStyle w:val="ListBullet"/>
        <w:spacing w:before="40" w:after="60" w:line="276" w:lineRule="auto"/>
      </w:pPr>
      <w:r>
        <w:rPr>
          <w:b/>
          <w:color w:val="1A365D"/>
        </w:rPr>
        <w:t xml:space="preserve">Bước 3 (Tải dự án lên): </w:t>
      </w:r>
      <w:r>
        <w:t>Nhấn nút 'New Project' (Dự án mới) ở góc trên bên trái -&gt; Chọn 'Upload Project' (Tải lên dự án) -&gt; Chọn file paper_overleaf.zip vừa tải.</w:t>
      </w:r>
    </w:p>
    <w:p>
      <w:pPr>
        <w:pStyle w:val="ListBullet"/>
        <w:spacing w:before="40" w:after="60" w:line="276" w:lineRule="auto"/>
      </w:pPr>
      <w:r>
        <w:rPr>
          <w:b/>
          <w:color w:val="1A365D"/>
        </w:rPr>
        <w:t xml:space="preserve">Bước 4 (Cấu hình Trình biên dịch): </w:t>
      </w:r>
      <w:r>
        <w:t>Sau khi tải lên, Overleaf sẽ tự động bung nén toàn bộ cây thư mục. Nhấn vào biểu tượng 'Menu' (góc trên bên trái giao diện chỉnh sửa):</w:t>
      </w:r>
    </w:p>
    <w:p>
      <w:pPr>
        <w:pStyle w:val="ListBullet2"/>
        <w:spacing w:after="40"/>
      </w:pPr>
      <w:r>
        <w:rPr>
          <w:b/>
        </w:rPr>
        <w:t xml:space="preserve">Compiler (Trình biên dịch): </w:t>
      </w:r>
      <w:r>
        <w:t xml:space="preserve">Chọn </w:t>
      </w:r>
      <w:r>
        <w:rPr>
          <w:b/>
        </w:rPr>
        <w:t>pdfLaTeX</w:t>
      </w:r>
      <w:r>
        <w:t xml:space="preserve"> (hoặc XeLaTeX).</w:t>
      </w:r>
    </w:p>
    <w:p>
      <w:pPr>
        <w:pStyle w:val="ListBullet2"/>
        <w:spacing w:after="80"/>
      </w:pPr>
      <w:r>
        <w:rPr>
          <w:b/>
        </w:rPr>
        <w:t xml:space="preserve">Main document (Tệp chính): </w:t>
      </w:r>
      <w:r>
        <w:t xml:space="preserve">Chọn </w:t>
      </w:r>
      <w:r>
        <w:rPr>
          <w:b/>
        </w:rPr>
        <w:t>main.tex</w:t>
      </w:r>
      <w:r>
        <w:t>.</w:t>
      </w:r>
    </w:p>
    <w:p>
      <w:pPr>
        <w:pStyle w:val="ListBullet"/>
        <w:spacing w:before="40" w:after="60" w:line="276" w:lineRule="auto"/>
      </w:pPr>
      <w:r>
        <w:rPr>
          <w:b/>
          <w:color w:val="1A365D"/>
        </w:rPr>
        <w:t xml:space="preserve">Bước 5 (Biên dịch thử): </w:t>
      </w:r>
      <w:r>
        <w:t>Nhấn nút xanh 'Recompile' (Biên dịch lại). Bài báo chuẩn IEEE 2 cột với bảng biểu và công thức toán học sẽ hiển thị ở khung xem trước bên phải.</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left w:val="single" w:sz="24" w:space="0" w:color="1A365D"/>
              <w:top w:val="none"/>
              <w:right w:val="none"/>
              <w:bottom w:val="none"/>
            </w:tcBorders>
          </w:tcPr>
          <w:p>
            <w:pPr>
              <w:spacing w:before="40" w:after="40" w:line="276" w:lineRule="auto"/>
            </w:pPr>
            <w:r>
              <w:rPr>
                <w:rFonts w:ascii="Arial" w:hAnsi="Arial"/>
                <w:b/>
                <w:color w:val="1A365D"/>
                <w:sz w:val="20"/>
              </w:rPr>
              <w:t xml:space="preserve">[MẸO OVERLEAF] </w:t>
            </w:r>
            <w:r>
              <w:rPr>
                <w:rFonts w:ascii="Arial" w:hAnsi="Arial"/>
                <w:color w:val="2D3748"/>
                <w:sz w:val="19"/>
              </w:rPr>
              <w:t>Nếu Overleaf hiển thị cảnh báo font chữ hoặc gói lệnh, hãy đảm bảo trường 'Main document' được chỉ định chính xác là 'main.tex'. Không chọn các file con trong thư mục sections/ làm Main document.</w:t>
            </w:r>
          </w:p>
        </w:tc>
      </w:tr>
    </w:tbl>
    <w:p>
      <w:pPr>
        <w:spacing w:before="0" w:after="80"/>
      </w:pPr>
    </w:p>
    <w:p>
      <w:pPr>
        <w:keepNext/>
        <w:spacing w:before="240" w:after="80"/>
      </w:pPr>
      <w:r>
        <w:rPr>
          <w:rFonts w:ascii="Arial" w:hAnsi="Arial"/>
          <w:b/>
          <w:color w:val="2B6CB0"/>
          <w:sz w:val="24"/>
        </w:rPr>
        <w:t>1.2. Cấu trúc thư mục mã nguồn bài báo (Thư mục paper/)</w:t>
      </w:r>
    </w:p>
    <w:p>
      <w:r>
        <w:t>Mã nguồn bài báo được phân tách module hóa nghiêm ngặt để nhiều thành viên có thể viết đồng thời mà không bị xung đột (conflict):</w:t>
      </w:r>
    </w:p>
    <w:p>
      <w:pPr>
        <w:pStyle w:val="ListBullet"/>
        <w:spacing w:before="40" w:after="60" w:line="276" w:lineRule="auto"/>
      </w:pPr>
      <w:r>
        <w:rPr>
          <w:b/>
          <w:color w:val="1A365D"/>
        </w:rPr>
        <w:t xml:space="preserve">main.tex: </w:t>
      </w:r>
      <w:r>
        <w:t>File master kết nối toàn bộ các sections, khai báo gói lệnh IEEEtran, metadata tác giả và cấu hình tài liệu tham khảo.</w:t>
      </w:r>
    </w:p>
    <w:p>
      <w:pPr>
        <w:pStyle w:val="ListBullet"/>
        <w:spacing w:before="40" w:after="60" w:line="276" w:lineRule="auto"/>
      </w:pPr>
      <w:r>
        <w:rPr>
          <w:b/>
          <w:color w:val="1A365D"/>
        </w:rPr>
        <w:t xml:space="preserve">references.bib: </w:t>
      </w:r>
      <w:r>
        <w:t>Cơ sở dữ liệu thư mục chứa đủ 40 tài liệu trích dẫn khoa học thu hoạch từ Systematic Literature Review (SLR).</w:t>
      </w:r>
    </w:p>
    <w:p>
      <w:pPr>
        <w:pStyle w:val="ListBullet"/>
        <w:spacing w:before="40" w:after="60" w:line="276" w:lineRule="auto"/>
      </w:pPr>
      <w:r>
        <w:rPr>
          <w:b/>
          <w:color w:val="1A365D"/>
        </w:rPr>
        <w:t xml:space="preserve">sections/00_abstract.tex: </w:t>
      </w:r>
      <w:r>
        <w:t>Tóm tắt bài báo (150-200 từ) cấu trúc chuẩn 5 câu vàng và từ khóa Index Terms.</w:t>
      </w:r>
    </w:p>
    <w:p>
      <w:pPr>
        <w:pStyle w:val="ListBullet"/>
        <w:spacing w:before="40" w:after="60" w:line="276" w:lineRule="auto"/>
      </w:pPr>
      <w:r>
        <w:rPr>
          <w:b/>
          <w:color w:val="1A365D"/>
        </w:rPr>
        <w:t xml:space="preserve">sections/01_intro.tex: </w:t>
      </w:r>
      <w:r>
        <w:t>Section 1: Bối cảnh viễn thông, nguy cơ lừa đảo, SOTA hiện tại, 3 GAPs và 4 đóng góp cốt lõi.</w:t>
      </w:r>
    </w:p>
    <w:p>
      <w:pPr>
        <w:pStyle w:val="ListBullet"/>
        <w:spacing w:before="40" w:after="60" w:line="276" w:lineRule="auto"/>
      </w:pPr>
      <w:r>
        <w:rPr>
          <w:b/>
          <w:color w:val="1A365D"/>
        </w:rPr>
        <w:t xml:space="preserve">sections/02_related.tex: </w:t>
      </w:r>
      <w:r>
        <w:t>Section 2: Tổng hợp 40 bài báo theo 3 Theme văn hiến và Bảng Table I đối sánh.</w:t>
      </w:r>
    </w:p>
    <w:p>
      <w:pPr>
        <w:pStyle w:val="ListBullet"/>
        <w:spacing w:before="40" w:after="60" w:line="276" w:lineRule="auto"/>
      </w:pPr>
      <w:r>
        <w:rPr>
          <w:b/>
          <w:color w:val="1A365D"/>
        </w:rPr>
        <w:t xml:space="preserve">sections/03_method.tex: </w:t>
      </w:r>
      <w:r>
        <w:t>Section 3: Phương pháp luận, Dataset (N=267 Frozen), Mô hình ViSoBERT 110M, ONNX opset 18, Loss WBCE (alpha=5.0) và Protocol.</w:t>
      </w:r>
    </w:p>
    <w:p>
      <w:pPr>
        <w:pStyle w:val="ListBullet"/>
        <w:spacing w:before="40" w:after="60" w:line="276" w:lineRule="auto"/>
      </w:pPr>
      <w:r>
        <w:rPr>
          <w:b/>
          <w:color w:val="1A365D"/>
        </w:rPr>
        <w:t xml:space="preserve">sections/04_results.tex: </w:t>
      </w:r>
      <w:r>
        <w:t>Section 4: Kết quả thực nghiệm 5 runs (Table II) và kiểm định thống kê cặp McNemar (Table III).</w:t>
      </w:r>
    </w:p>
    <w:p>
      <w:pPr>
        <w:pStyle w:val="ListBullet"/>
        <w:spacing w:before="40" w:after="60" w:line="276" w:lineRule="auto"/>
      </w:pPr>
      <w:r>
        <w:rPr>
          <w:b/>
          <w:color w:val="1A365D"/>
        </w:rPr>
        <w:t xml:space="preserve">sections/05_discussion.tex: </w:t>
      </w:r>
      <w:r>
        <w:t>Section 5: Thảo luận chuyên sâu 4 khía cạnh: Pareto-optimality, LLM Alarm fatigue, Multi-Agent Council v1.1, và Model scaling failure.</w:t>
      </w:r>
    </w:p>
    <w:p>
      <w:pPr>
        <w:pStyle w:val="ListBullet"/>
        <w:spacing w:before="40" w:after="60" w:line="276" w:lineRule="auto"/>
      </w:pPr>
      <w:r>
        <w:rPr>
          <w:b/>
          <w:color w:val="1A365D"/>
        </w:rPr>
        <w:t xml:space="preserve">sections/06_threats.tex: </w:t>
      </w:r>
      <w:r>
        <w:t>Section 6: Đánh giá 4 nhóm rủi ro (Internal, External, Construct, Conclusion) và giải pháp giảm thiểu.</w:t>
      </w:r>
    </w:p>
    <w:p>
      <w:pPr>
        <w:pStyle w:val="ListBullet"/>
        <w:spacing w:before="40" w:after="60" w:line="276" w:lineRule="auto"/>
      </w:pPr>
      <w:r>
        <w:rPr>
          <w:b/>
          <w:color w:val="1A365D"/>
        </w:rPr>
        <w:t xml:space="preserve">sections/07_conclusion.tex: </w:t>
      </w:r>
      <w:r>
        <w:t>Section 7: Tóm tắt trả lời RQ, giới hạn nghiên cứu, 3 hướng Future Work và Tuyên bố AI Usage.</w:t>
      </w:r>
    </w:p>
    <w:p>
      <w:pPr>
        <w:pStyle w:val="ListBullet"/>
        <w:spacing w:before="40" w:after="60" w:line="276" w:lineRule="auto"/>
      </w:pPr>
      <w:r>
        <w:rPr>
          <w:b/>
          <w:color w:val="1A365D"/>
        </w:rPr>
        <w:t xml:space="preserve">claims.md: </w:t>
      </w:r>
      <w:r>
        <w:t>Bảng khóa cứng 4 Luận điểm khoa học (Claim -&gt; Evidence -&gt; Warrant) đối soát độc lập.</w:t>
      </w:r>
    </w:p>
    <w:p>
      <w:pPr>
        <w:pStyle w:val="ListBullet"/>
        <w:spacing w:before="40" w:after="60" w:line="276" w:lineRule="auto"/>
      </w:pPr>
      <w:r>
        <w:rPr>
          <w:b/>
          <w:color w:val="1A365D"/>
        </w:rPr>
        <w:t xml:space="preserve">quality/ai_check_log.md: </w:t>
      </w:r>
      <w:r>
        <w:t>Nhật ký kiểm toán mức độ sử dụng AI viết bài (cam kết đạt chuẩn RBL-5b &lt;= 18%).</w:t>
      </w:r>
    </w:p>
    <w:p>
      <w:pPr>
        <w:pStyle w:val="ListBullet"/>
        <w:spacing w:before="40" w:after="60" w:line="276" w:lineRule="auto"/>
      </w:pPr>
      <w:r>
        <w:rPr>
          <w:b/>
          <w:color w:val="1A365D"/>
        </w:rPr>
        <w:t xml:space="preserve">FULL_PAPER_PREVIEW.md: </w:t>
      </w:r>
      <w:r>
        <w:t>Bản render toàn văn dạng Markdown để đọc nhanh toàn bài mà không cần mở trình biên dịch TeX.</w:t>
      </w:r>
    </w:p>
    <w:p>
      <w:pPr>
        <w:keepNext/>
        <w:spacing w:before="240" w:after="80"/>
      </w:pPr>
      <w:r>
        <w:rPr>
          <w:rFonts w:ascii="Arial" w:hAnsi="Arial"/>
          <w:b/>
          <w:color w:val="2B6CB0"/>
          <w:sz w:val="24"/>
        </w:rPr>
        <w:t>1.3. Quy trình làm việc 4 bước dành cho thành viên khi nhận task</w:t>
      </w:r>
    </w:p>
    <w:p>
      <w:pPr>
        <w:pStyle w:val="ListBullet"/>
        <w:spacing w:before="40" w:after="60" w:line="276" w:lineRule="auto"/>
      </w:pPr>
      <w:r>
        <w:rPr>
          <w:b/>
          <w:color w:val="1A365D"/>
        </w:rPr>
        <w:t xml:space="preserve">Bước 1 (Xác nhận task): </w:t>
      </w:r>
      <w:r>
        <w:t>Truy cập bảng Jira nhóm, kiểm tra Task và Section bạn được phân công phụ trách. Đọc kỹ checklist và deadline của task.</w:t>
      </w:r>
    </w:p>
    <w:p>
      <w:pPr>
        <w:pStyle w:val="ListBullet"/>
        <w:spacing w:before="40" w:after="60" w:line="276" w:lineRule="auto"/>
      </w:pPr>
      <w:r>
        <w:rPr>
          <w:b/>
          <w:color w:val="1A365D"/>
        </w:rPr>
        <w:t xml:space="preserve">Bước 2 (Mở file tương ứng): </w:t>
      </w:r>
      <w:r>
        <w:t>Mở file .tex tương ứng trong thư mục sections/. Toàn bộ khung nội dung, công thức toán và bảng biểu ĐÃ ĐƯỢC ĐIỀN ĐẦY ĐỦ VÀ CHÍNH XÁC.</w:t>
      </w:r>
    </w:p>
    <w:p>
      <w:pPr>
        <w:pStyle w:val="ListBullet"/>
        <w:spacing w:before="40" w:after="60" w:line="276" w:lineRule="auto"/>
      </w:pPr>
      <w:r>
        <w:rPr>
          <w:b/>
          <w:color w:val="1A365D"/>
        </w:rPr>
        <w:t xml:space="preserve">Bước 3 (Rà soát &amp; Chỉnh sửa): </w:t>
      </w:r>
      <w:r>
        <w:t>Đối soát các số liệu trong phần của bạn với 'Bản đồ số liệu đối soát (SSOT)' ở Phần 2 tài liệu này. Đọc và chỉnh sửa ngữ pháp tiếng Anh, trau chuốt câu từ cho tự nhiên và thuyết phục.</w:t>
      </w:r>
    </w:p>
    <w:p>
      <w:pPr>
        <w:pStyle w:val="ListBullet"/>
        <w:spacing w:before="40" w:after="60" w:line="276" w:lineRule="auto"/>
      </w:pPr>
      <w:r>
        <w:rPr>
          <w:b/>
          <w:color w:val="1A365D"/>
        </w:rPr>
        <w:t xml:space="preserve">Bước 4 (Xóa khối hướng dẫn): </w:t>
      </w:r>
      <w:r>
        <w:t>Đây là quy định bắt buộc: Ở đầu mỗi file .tex có một khối chú thích comment '% [HƯỚNG DẪN DÀNH CHO...]'. Sau khi bạn đã kiểm tra và hoàn thiện xong phần của mình, hãy XÓA TOÀN BỘ khối comment hướng dẫn đó và các thẻ '% [TODO: ...]' đi. Sau đó recompile và nộp bài.</w:t>
      </w:r>
    </w:p>
    <w:p>
      <w:pPr>
        <w:keepNext/>
        <w:spacing w:before="320" w:after="120"/>
      </w:pPr>
      <w:r>
        <w:rPr>
          <w:rFonts w:ascii="Arial" w:hAnsi="Arial"/>
          <w:b/>
          <w:color w:val="1A365D"/>
          <w:sz w:val="28"/>
        </w:rPr>
        <w:t>PHẦN 2: BẢN ĐỒ SỐ LIỆU ĐỐI SOÁT (SINGLE SOURCE OF TRUTH - SSOT)</w:t>
      </w:r>
    </w:p>
    <w:p>
      <w:r>
        <w:t xml:space="preserve">Theo Quy chế Nghiên cứu Khoa học (RESEARCH_RULES.md), </w:t>
      </w:r>
      <w:r>
        <w:rPr>
          <w:b/>
        </w:rPr>
        <w:t>tuyệt đối không được bịa đặt (hallucinate) số liệu</w:t>
      </w:r>
      <w:r>
        <w:t>. Mọi con số xuất hiện trong bài báo IEEE bắt buộc phải bắt nguồn từ các file dữ liệu và kết quả thực nghiệm có sẵn trong repository theo bảng tra cứu dưới đây:</w:t>
      </w:r>
    </w:p>
    <w:tbl>
      <w:tblPr>
        <w:tblW w:type="auto" w:w="0"/>
        <w:jc w:val="center"/>
        <w:tblLook w:firstColumn="1" w:firstRow="1" w:lastColumn="0" w:lastRow="0" w:noHBand="0" w:noVBand="1" w:val="04A0"/>
        <w:tblBorders>
          <w:top w:val="single" w:sz="6" w:space="0" w:color="CBD5E0"/>
          <w:bottom w:val="single" w:sz="6" w:space="0" w:color="CBD5E0"/>
          <w:insideH w:val="single" w:sz="6" w:space="0" w:color="CBD5E0"/>
          <w:insideV w:val="none"/>
          <w:left w:val="none"/>
          <w:right w:val="none"/>
        </w:tblBorders>
      </w:tblPr>
      <w:tblGrid>
        <w:gridCol w:w="2340"/>
        <w:gridCol w:w="2340"/>
        <w:gridCol w:w="2340"/>
        <w:gridCol w:w="2340"/>
      </w:tblGrid>
      <w:tr>
        <w:tc>
          <w:tcPr>
            <w:tcW w:type="dxa" w:w="2340"/>
            <w:shd w:fill="1A365D"/>
            <w:tcMar>
              <w:top w:w="80" w:type="dxa"/>
              <w:bottom w:w="80" w:type="dxa"/>
              <w:left w:w="100" w:type="dxa"/>
              <w:right w:w="100" w:type="dxa"/>
            </w:tcMar>
          </w:tcPr>
          <w:p>
            <w:pPr>
              <w:jc w:val="center"/>
            </w:pPr>
            <w:r>
              <w:rPr>
                <w:b/>
                <w:color w:val="FFFFFF"/>
                <w:sz w:val="19"/>
              </w:rPr>
              <w:t>Thông số / Chỉ số</w:t>
            </w:r>
          </w:p>
        </w:tc>
        <w:tc>
          <w:tcPr>
            <w:tcW w:type="dxa" w:w="2340"/>
            <w:shd w:fill="1A365D"/>
            <w:tcMar>
              <w:top w:w="80" w:type="dxa"/>
              <w:bottom w:w="80" w:type="dxa"/>
              <w:left w:w="100" w:type="dxa"/>
              <w:right w:w="100" w:type="dxa"/>
            </w:tcMar>
          </w:tcPr>
          <w:p>
            <w:pPr>
              <w:jc w:val="center"/>
            </w:pPr>
            <w:r>
              <w:rPr>
                <w:b/>
                <w:color w:val="FFFFFF"/>
                <w:sz w:val="19"/>
              </w:rPr>
              <w:t>Giá trị chuẩn (Bắt buộc dùng)</w:t>
            </w:r>
          </w:p>
        </w:tc>
        <w:tc>
          <w:tcPr>
            <w:tcW w:type="dxa" w:w="2340"/>
            <w:shd w:fill="1A365D"/>
            <w:tcMar>
              <w:top w:w="80" w:type="dxa"/>
              <w:bottom w:w="80" w:type="dxa"/>
              <w:left w:w="100" w:type="dxa"/>
              <w:right w:w="100" w:type="dxa"/>
            </w:tcMar>
          </w:tcPr>
          <w:p>
            <w:pPr>
              <w:jc w:val="center"/>
            </w:pPr>
            <w:r>
              <w:rPr>
                <w:b/>
                <w:color w:val="FFFFFF"/>
                <w:sz w:val="19"/>
              </w:rPr>
              <w:t>File gốc trong Repository</w:t>
            </w:r>
          </w:p>
        </w:tc>
        <w:tc>
          <w:tcPr>
            <w:tcW w:type="dxa" w:w="2340"/>
            <w:shd w:fill="1A365D"/>
            <w:tcMar>
              <w:top w:w="80" w:type="dxa"/>
              <w:bottom w:w="80" w:type="dxa"/>
              <w:left w:w="100" w:type="dxa"/>
              <w:right w:w="100" w:type="dxa"/>
            </w:tcMar>
          </w:tcPr>
          <w:p>
            <w:pPr>
              <w:jc w:val="center"/>
            </w:pPr>
            <w:r>
              <w:rPr>
                <w:b/>
                <w:color w:val="FFFFFF"/>
                <w:sz w:val="19"/>
              </w:rPr>
              <w:t>Section sử dụng</w:t>
            </w:r>
          </w:p>
        </w:tc>
      </w:tr>
      <w:tr>
        <w:tc>
          <w:tcPr>
            <w:tcW w:type="dxa" w:w="2340"/>
            <w:shd w:fill="FFFFFF"/>
            <w:tcMar>
              <w:top w:w="60" w:type="dxa"/>
              <w:bottom w:w="60" w:type="dxa"/>
              <w:left w:w="80" w:type="dxa"/>
              <w:right w:w="80" w:type="dxa"/>
            </w:tcMar>
            <w:vAlign w:val="center"/>
          </w:tcPr>
          <w:p>
            <w:pPr>
              <w:spacing w:line="276" w:lineRule="auto" w:after="0"/>
              <w:jc w:val="left"/>
            </w:pPr>
            <w:r>
              <w:rPr>
                <w:b/>
                <w:color w:val="1A365D"/>
                <w:sz w:val="17"/>
              </w:rPr>
              <w:t>Tổng số tin SMS</w:t>
            </w:r>
          </w:p>
        </w:tc>
        <w:tc>
          <w:tcPr>
            <w:tcW w:type="dxa" w:w="2340"/>
            <w:shd w:fill="FFFFFF"/>
            <w:tcMar>
              <w:top w:w="60" w:type="dxa"/>
              <w:bottom w:w="60" w:type="dxa"/>
              <w:left w:w="80" w:type="dxa"/>
              <w:right w:w="80" w:type="dxa"/>
            </w:tcMar>
            <w:vAlign w:val="center"/>
          </w:tcPr>
          <w:p>
            <w:pPr>
              <w:spacing w:line="276" w:lineRule="auto" w:after="0"/>
              <w:jc w:val="left"/>
            </w:pPr>
            <w:r>
              <w:rPr>
                <w:b/>
                <w:color w:val="C53030"/>
                <w:sz w:val="17"/>
              </w:rPr>
              <w:t>2.665 tin (1.918 Benign - 72.0%, 747 Scam - 28.0%)</w:t>
            </w:r>
          </w:p>
        </w:tc>
        <w:tc>
          <w:tcPr>
            <w:tcW w:type="dxa" w:w="2340"/>
            <w:shd w:fill="FFFFFF"/>
            <w:tcMar>
              <w:top w:w="60" w:type="dxa"/>
              <w:bottom w:w="60" w:type="dxa"/>
              <w:left w:w="80" w:type="dxa"/>
              <w:right w:w="80" w:type="dxa"/>
            </w:tcMar>
            <w:vAlign w:val="center"/>
          </w:tcPr>
          <w:p>
            <w:pPr>
              <w:spacing w:line="276" w:lineRule="auto" w:after="0"/>
              <w:jc w:val="left"/>
            </w:pPr>
            <w:r>
              <w:rPr>
                <w:color w:val="4A5568"/>
                <w:sz w:val="16"/>
              </w:rPr>
              <w:t>data/raw/vietnamese_sms_merged_all.csv</w:t>
              <w:br/>
              <w:t>data/raw/README.md</w:t>
            </w:r>
          </w:p>
        </w:tc>
        <w:tc>
          <w:tcPr>
            <w:tcW w:type="dxa" w:w="2340"/>
            <w:shd w:fill="FFFFFF"/>
            <w:tcMar>
              <w:top w:w="60" w:type="dxa"/>
              <w:bottom w:w="60" w:type="dxa"/>
              <w:left w:w="80" w:type="dxa"/>
              <w:right w:w="80" w:type="dxa"/>
            </w:tcMar>
            <w:vAlign w:val="center"/>
          </w:tcPr>
          <w:p>
            <w:pPr>
              <w:spacing w:line="276" w:lineRule="auto" w:after="0"/>
              <w:jc w:val="left"/>
            </w:pPr>
            <w:r>
              <w:rPr>
                <w:color w:val="4A5568"/>
                <w:sz w:val="16"/>
              </w:rPr>
              <w:t>§3.1, §1</w:t>
            </w:r>
          </w:p>
        </w:tc>
      </w:tr>
      <w:tr>
        <w:tc>
          <w:tcPr>
            <w:tcW w:type="dxa" w:w="2340"/>
            <w:shd w:fill="F7FAFC"/>
            <w:tcMar>
              <w:top w:w="60" w:type="dxa"/>
              <w:bottom w:w="60" w:type="dxa"/>
              <w:left w:w="80" w:type="dxa"/>
              <w:right w:w="80" w:type="dxa"/>
            </w:tcMar>
            <w:vAlign w:val="center"/>
          </w:tcPr>
          <w:p>
            <w:pPr>
              <w:spacing w:line="276" w:lineRule="auto" w:after="0"/>
              <w:jc w:val="left"/>
            </w:pPr>
            <w:r>
              <w:rPr>
                <w:b/>
                <w:color w:val="1A365D"/>
                <w:sz w:val="17"/>
              </w:rPr>
              <w:t>Tập niêm phong (Frozen Test Set)</w:t>
            </w:r>
          </w:p>
        </w:tc>
        <w:tc>
          <w:tcPr>
            <w:tcW w:type="dxa" w:w="2340"/>
            <w:shd w:fill="F7FAFC"/>
            <w:tcMar>
              <w:top w:w="60" w:type="dxa"/>
              <w:bottom w:w="60" w:type="dxa"/>
              <w:left w:w="80" w:type="dxa"/>
              <w:right w:w="80" w:type="dxa"/>
            </w:tcMar>
            <w:vAlign w:val="center"/>
          </w:tcPr>
          <w:p>
            <w:pPr>
              <w:spacing w:line="276" w:lineRule="auto" w:after="0"/>
              <w:jc w:val="left"/>
            </w:pPr>
            <w:r>
              <w:rPr>
                <w:b/>
                <w:color w:val="C53030"/>
                <w:sz w:val="17"/>
              </w:rPr>
              <w:t>N = 267 tin (192 Ham, 75 Scam) - Tỷ lệ 10%, seed 42</w:t>
            </w:r>
          </w:p>
        </w:tc>
        <w:tc>
          <w:tcPr>
            <w:tcW w:type="dxa" w:w="2340"/>
            <w:shd w:fill="F7FAFC"/>
            <w:tcMar>
              <w:top w:w="60" w:type="dxa"/>
              <w:bottom w:w="60" w:type="dxa"/>
              <w:left w:w="80" w:type="dxa"/>
              <w:right w:w="80" w:type="dxa"/>
            </w:tcMar>
            <w:vAlign w:val="center"/>
          </w:tcPr>
          <w:p>
            <w:pPr>
              <w:spacing w:line="276" w:lineRule="auto" w:after="0"/>
              <w:jc w:val="left"/>
            </w:pPr>
            <w:r>
              <w:rPr>
                <w:color w:val="4A5568"/>
                <w:sz w:val="16"/>
              </w:rPr>
              <w:t>data/raw/README.md</w:t>
            </w:r>
          </w:p>
        </w:tc>
        <w:tc>
          <w:tcPr>
            <w:tcW w:type="dxa" w:w="2340"/>
            <w:shd w:fill="F7FAFC"/>
            <w:tcMar>
              <w:top w:w="60" w:type="dxa"/>
              <w:bottom w:w="60" w:type="dxa"/>
              <w:left w:w="80" w:type="dxa"/>
              <w:right w:w="80" w:type="dxa"/>
            </w:tcMar>
            <w:vAlign w:val="center"/>
          </w:tcPr>
          <w:p>
            <w:pPr>
              <w:spacing w:line="276" w:lineRule="auto" w:after="0"/>
              <w:jc w:val="left"/>
            </w:pPr>
            <w:r>
              <w:rPr>
                <w:color w:val="4A5568"/>
                <w:sz w:val="16"/>
              </w:rPr>
              <w:t>Abstract, §1, §3.1, §4, §5</w:t>
            </w:r>
          </w:p>
        </w:tc>
      </w:tr>
      <w:tr>
        <w:tc>
          <w:tcPr>
            <w:tcW w:type="dxa" w:w="2340"/>
            <w:shd w:fill="FFFFFF"/>
            <w:tcMar>
              <w:top w:w="60" w:type="dxa"/>
              <w:bottom w:w="60" w:type="dxa"/>
              <w:left w:w="80" w:type="dxa"/>
              <w:right w:w="80" w:type="dxa"/>
            </w:tcMar>
            <w:vAlign w:val="center"/>
          </w:tcPr>
          <w:p>
            <w:pPr>
              <w:spacing w:line="276" w:lineRule="auto" w:after="0"/>
              <w:jc w:val="left"/>
            </w:pPr>
            <w:r>
              <w:rPr>
                <w:b/>
                <w:color w:val="1A365D"/>
                <w:sz w:val="17"/>
              </w:rPr>
              <w:t>Độ tin cậy gán nhãn</w:t>
            </w:r>
          </w:p>
        </w:tc>
        <w:tc>
          <w:tcPr>
            <w:tcW w:type="dxa" w:w="2340"/>
            <w:shd w:fill="FFFFFF"/>
            <w:tcMar>
              <w:top w:w="60" w:type="dxa"/>
              <w:bottom w:w="60" w:type="dxa"/>
              <w:left w:w="80" w:type="dxa"/>
              <w:right w:w="80" w:type="dxa"/>
            </w:tcMar>
            <w:vAlign w:val="center"/>
          </w:tcPr>
          <w:p>
            <w:pPr>
              <w:spacing w:line="276" w:lineRule="auto" w:after="0"/>
              <w:jc w:val="left"/>
            </w:pPr>
            <w:r>
              <w:rPr>
                <w:b/>
                <w:color w:val="2D3748"/>
                <w:sz w:val="17"/>
              </w:rPr>
              <w:t>Cohen's kappa = 0.88 (Near-perfect agreement)</w:t>
            </w:r>
          </w:p>
        </w:tc>
        <w:tc>
          <w:tcPr>
            <w:tcW w:type="dxa" w:w="2340"/>
            <w:shd w:fill="FFFFFF"/>
            <w:tcMar>
              <w:top w:w="60" w:type="dxa"/>
              <w:bottom w:w="60" w:type="dxa"/>
              <w:left w:w="80" w:type="dxa"/>
              <w:right w:w="80" w:type="dxa"/>
            </w:tcMar>
            <w:vAlign w:val="center"/>
          </w:tcPr>
          <w:p>
            <w:pPr>
              <w:spacing w:line="276" w:lineRule="auto" w:after="0"/>
              <w:jc w:val="left"/>
            </w:pPr>
            <w:r>
              <w:rPr>
                <w:color w:val="4A5568"/>
                <w:sz w:val="16"/>
              </w:rPr>
              <w:t>data/raw/README.md</w:t>
            </w:r>
          </w:p>
        </w:tc>
        <w:tc>
          <w:tcPr>
            <w:tcW w:type="dxa" w:w="2340"/>
            <w:shd w:fill="FFFFFF"/>
            <w:tcMar>
              <w:top w:w="60" w:type="dxa"/>
              <w:bottom w:w="60" w:type="dxa"/>
              <w:left w:w="80" w:type="dxa"/>
              <w:right w:w="80" w:type="dxa"/>
            </w:tcMar>
            <w:vAlign w:val="center"/>
          </w:tcPr>
          <w:p>
            <w:pPr>
              <w:spacing w:line="276" w:lineRule="auto" w:after="0"/>
              <w:jc w:val="left"/>
            </w:pPr>
            <w:r>
              <w:rPr>
                <w:color w:val="4A5568"/>
                <w:sz w:val="16"/>
              </w:rPr>
              <w:t>§3.1, §6.3</w:t>
            </w:r>
          </w:p>
        </w:tc>
      </w:tr>
      <w:tr>
        <w:tc>
          <w:tcPr>
            <w:tcW w:type="dxa" w:w="2340"/>
            <w:shd w:fill="F7FAFC"/>
            <w:tcMar>
              <w:top w:w="60" w:type="dxa"/>
              <w:bottom w:w="60" w:type="dxa"/>
              <w:left w:w="80" w:type="dxa"/>
              <w:right w:w="80" w:type="dxa"/>
            </w:tcMar>
            <w:vAlign w:val="center"/>
          </w:tcPr>
          <w:p>
            <w:pPr>
              <w:spacing w:line="276" w:lineRule="auto" w:after="0"/>
              <w:jc w:val="left"/>
            </w:pPr>
            <w:r>
              <w:rPr>
                <w:b/>
                <w:color w:val="1A365D"/>
                <w:sz w:val="17"/>
              </w:rPr>
              <w:t>ViSoBERT + WBCE Scam Recall</w:t>
            </w:r>
          </w:p>
        </w:tc>
        <w:tc>
          <w:tcPr>
            <w:tcW w:type="dxa" w:w="2340"/>
            <w:shd w:fill="F7FAFC"/>
            <w:tcMar>
              <w:top w:w="60" w:type="dxa"/>
              <w:bottom w:w="60" w:type="dxa"/>
              <w:left w:w="80" w:type="dxa"/>
              <w:right w:w="80" w:type="dxa"/>
            </w:tcMar>
            <w:vAlign w:val="center"/>
          </w:tcPr>
          <w:p>
            <w:pPr>
              <w:spacing w:line="276" w:lineRule="auto" w:after="0"/>
              <w:jc w:val="left"/>
            </w:pPr>
            <w:r>
              <w:rPr>
                <w:b/>
                <w:color w:val="C53030"/>
                <w:sz w:val="17"/>
              </w:rPr>
              <w:t>95.62% ± 2.25% (Cao nhất trong các model chạy biên)</w:t>
            </w:r>
          </w:p>
        </w:tc>
        <w:tc>
          <w:tcPr>
            <w:tcW w:type="dxa" w:w="2340"/>
            <w:shd w:fill="F7FAFC"/>
            <w:tcMar>
              <w:top w:w="60" w:type="dxa"/>
              <w:bottom w:w="60" w:type="dxa"/>
              <w:left w:w="80" w:type="dxa"/>
              <w:right w:w="80" w:type="dxa"/>
            </w:tcMar>
            <w:vAlign w:val="center"/>
          </w:tcPr>
          <w:p>
            <w:pPr>
              <w:spacing w:line="276" w:lineRule="auto" w:after="0"/>
              <w:jc w:val="left"/>
            </w:pPr>
            <w:r>
              <w:rPr>
                <w:color w:val="4A5568"/>
                <w:sz w:val="16"/>
              </w:rPr>
              <w:t>results/summary.csv</w:t>
            </w:r>
          </w:p>
        </w:tc>
        <w:tc>
          <w:tcPr>
            <w:tcW w:type="dxa" w:w="2340"/>
            <w:shd w:fill="F7FAFC"/>
            <w:tcMar>
              <w:top w:w="60" w:type="dxa"/>
              <w:bottom w:w="60" w:type="dxa"/>
              <w:left w:w="80" w:type="dxa"/>
              <w:right w:w="80" w:type="dxa"/>
            </w:tcMar>
            <w:vAlign w:val="center"/>
          </w:tcPr>
          <w:p>
            <w:pPr>
              <w:spacing w:line="276" w:lineRule="auto" w:after="0"/>
              <w:jc w:val="left"/>
            </w:pPr>
            <w:r>
              <w:rPr>
                <w:color w:val="4A5568"/>
                <w:sz w:val="16"/>
              </w:rPr>
              <w:t>Abstract, §1, §4, §5, §7</w:t>
            </w:r>
          </w:p>
        </w:tc>
      </w:tr>
      <w:tr>
        <w:tc>
          <w:tcPr>
            <w:tcW w:type="dxa" w:w="2340"/>
            <w:shd w:fill="FFFFFF"/>
            <w:tcMar>
              <w:top w:w="60" w:type="dxa"/>
              <w:bottom w:w="60" w:type="dxa"/>
              <w:left w:w="80" w:type="dxa"/>
              <w:right w:w="80" w:type="dxa"/>
            </w:tcMar>
            <w:vAlign w:val="center"/>
          </w:tcPr>
          <w:p>
            <w:pPr>
              <w:spacing w:line="276" w:lineRule="auto" w:after="0"/>
              <w:jc w:val="left"/>
            </w:pPr>
            <w:r>
              <w:rPr>
                <w:b/>
                <w:color w:val="1A365D"/>
                <w:sz w:val="17"/>
              </w:rPr>
              <w:t>ViSoBERT + WBCE Precision</w:t>
            </w:r>
          </w:p>
        </w:tc>
        <w:tc>
          <w:tcPr>
            <w:tcW w:type="dxa" w:w="2340"/>
            <w:shd w:fill="FFFFFF"/>
            <w:tcMar>
              <w:top w:w="60" w:type="dxa"/>
              <w:bottom w:w="60" w:type="dxa"/>
              <w:left w:w="80" w:type="dxa"/>
              <w:right w:w="80" w:type="dxa"/>
            </w:tcMar>
            <w:vAlign w:val="center"/>
          </w:tcPr>
          <w:p>
            <w:pPr>
              <w:spacing w:line="276" w:lineRule="auto" w:after="0"/>
              <w:jc w:val="left"/>
            </w:pPr>
            <w:r>
              <w:rPr>
                <w:b/>
                <w:color w:val="C53030"/>
                <w:sz w:val="17"/>
              </w:rPr>
              <w:t>89.79% ± 5.15%</w:t>
            </w:r>
          </w:p>
        </w:tc>
        <w:tc>
          <w:tcPr>
            <w:tcW w:type="dxa" w:w="2340"/>
            <w:shd w:fill="FFFFFF"/>
            <w:tcMar>
              <w:top w:w="60" w:type="dxa"/>
              <w:bottom w:w="60" w:type="dxa"/>
              <w:left w:w="80" w:type="dxa"/>
              <w:right w:w="80" w:type="dxa"/>
            </w:tcMar>
            <w:vAlign w:val="center"/>
          </w:tcPr>
          <w:p>
            <w:pPr>
              <w:spacing w:line="276" w:lineRule="auto" w:after="0"/>
              <w:jc w:val="left"/>
            </w:pPr>
            <w:r>
              <w:rPr>
                <w:color w:val="4A5568"/>
                <w:sz w:val="16"/>
              </w:rPr>
              <w:t>results/summary.csv</w:t>
            </w:r>
          </w:p>
        </w:tc>
        <w:tc>
          <w:tcPr>
            <w:tcW w:type="dxa" w:w="2340"/>
            <w:shd w:fill="FFFFFF"/>
            <w:tcMar>
              <w:top w:w="60" w:type="dxa"/>
              <w:bottom w:w="60" w:type="dxa"/>
              <w:left w:w="80" w:type="dxa"/>
              <w:right w:w="80" w:type="dxa"/>
            </w:tcMar>
            <w:vAlign w:val="center"/>
          </w:tcPr>
          <w:p>
            <w:pPr>
              <w:spacing w:line="276" w:lineRule="auto" w:after="0"/>
              <w:jc w:val="left"/>
            </w:pPr>
            <w:r>
              <w:rPr>
                <w:color w:val="4A5568"/>
                <w:sz w:val="16"/>
              </w:rPr>
              <w:t>Abstract, §4, §5</w:t>
            </w:r>
          </w:p>
        </w:tc>
      </w:tr>
      <w:tr>
        <w:tc>
          <w:tcPr>
            <w:tcW w:type="dxa" w:w="2340"/>
            <w:shd w:fill="F7FAFC"/>
            <w:tcMar>
              <w:top w:w="60" w:type="dxa"/>
              <w:bottom w:w="60" w:type="dxa"/>
              <w:left w:w="80" w:type="dxa"/>
              <w:right w:w="80" w:type="dxa"/>
            </w:tcMar>
            <w:vAlign w:val="center"/>
          </w:tcPr>
          <w:p>
            <w:pPr>
              <w:spacing w:line="276" w:lineRule="auto" w:after="0"/>
              <w:jc w:val="left"/>
            </w:pPr>
            <w:r>
              <w:rPr>
                <w:b/>
                <w:color w:val="1A365D"/>
                <w:sz w:val="17"/>
              </w:rPr>
              <w:t>ViSoBERT + WBCE Accuracy</w:t>
            </w:r>
          </w:p>
        </w:tc>
        <w:tc>
          <w:tcPr>
            <w:tcW w:type="dxa" w:w="2340"/>
            <w:shd w:fill="F7FAFC"/>
            <w:tcMar>
              <w:top w:w="60" w:type="dxa"/>
              <w:bottom w:w="60" w:type="dxa"/>
              <w:left w:w="80" w:type="dxa"/>
              <w:right w:w="80" w:type="dxa"/>
            </w:tcMar>
            <w:vAlign w:val="center"/>
          </w:tcPr>
          <w:p>
            <w:pPr>
              <w:spacing w:line="276" w:lineRule="auto" w:after="0"/>
              <w:jc w:val="left"/>
            </w:pPr>
            <w:r>
              <w:rPr>
                <w:b/>
                <w:color w:val="C53030"/>
                <w:sz w:val="17"/>
              </w:rPr>
              <w:t>95.65% ± 1.54%</w:t>
            </w:r>
          </w:p>
        </w:tc>
        <w:tc>
          <w:tcPr>
            <w:tcW w:type="dxa" w:w="2340"/>
            <w:shd w:fill="F7FAFC"/>
            <w:tcMar>
              <w:top w:w="60" w:type="dxa"/>
              <w:bottom w:w="60" w:type="dxa"/>
              <w:left w:w="80" w:type="dxa"/>
              <w:right w:w="80" w:type="dxa"/>
            </w:tcMar>
            <w:vAlign w:val="center"/>
          </w:tcPr>
          <w:p>
            <w:pPr>
              <w:spacing w:line="276" w:lineRule="auto" w:after="0"/>
              <w:jc w:val="left"/>
            </w:pPr>
            <w:r>
              <w:rPr>
                <w:color w:val="4A5568"/>
                <w:sz w:val="16"/>
              </w:rPr>
              <w:t>results/summary.csv</w:t>
            </w:r>
          </w:p>
        </w:tc>
        <w:tc>
          <w:tcPr>
            <w:tcW w:type="dxa" w:w="2340"/>
            <w:shd w:fill="F7FAFC"/>
            <w:tcMar>
              <w:top w:w="60" w:type="dxa"/>
              <w:bottom w:w="60" w:type="dxa"/>
              <w:left w:w="80" w:type="dxa"/>
              <w:right w:w="80" w:type="dxa"/>
            </w:tcMar>
            <w:vAlign w:val="center"/>
          </w:tcPr>
          <w:p>
            <w:pPr>
              <w:spacing w:line="276" w:lineRule="auto" w:after="0"/>
              <w:jc w:val="left"/>
            </w:pPr>
            <w:r>
              <w:rPr>
                <w:color w:val="4A5568"/>
                <w:sz w:val="16"/>
              </w:rPr>
              <w:t>§4 (Table II)</w:t>
            </w:r>
          </w:p>
        </w:tc>
      </w:tr>
      <w:tr>
        <w:tc>
          <w:tcPr>
            <w:tcW w:type="dxa" w:w="2340"/>
            <w:shd w:fill="FFFFFF"/>
            <w:tcMar>
              <w:top w:w="60" w:type="dxa"/>
              <w:bottom w:w="60" w:type="dxa"/>
              <w:left w:w="80" w:type="dxa"/>
              <w:right w:w="80" w:type="dxa"/>
            </w:tcMar>
            <w:vAlign w:val="center"/>
          </w:tcPr>
          <w:p>
            <w:pPr>
              <w:spacing w:line="276" w:lineRule="auto" w:after="0"/>
              <w:jc w:val="left"/>
            </w:pPr>
            <w:r>
              <w:rPr>
                <w:b/>
                <w:color w:val="1A365D"/>
                <w:sz w:val="17"/>
              </w:rPr>
              <w:t>ViSoBERT + WBCE Macro-F1</w:t>
            </w:r>
          </w:p>
        </w:tc>
        <w:tc>
          <w:tcPr>
            <w:tcW w:type="dxa" w:w="2340"/>
            <w:shd w:fill="FFFFFF"/>
            <w:tcMar>
              <w:top w:w="60" w:type="dxa"/>
              <w:bottom w:w="60" w:type="dxa"/>
              <w:left w:w="80" w:type="dxa"/>
              <w:right w:w="80" w:type="dxa"/>
            </w:tcMar>
            <w:vAlign w:val="center"/>
          </w:tcPr>
          <w:p>
            <w:pPr>
              <w:spacing w:line="276" w:lineRule="auto" w:after="0"/>
              <w:jc w:val="left"/>
            </w:pPr>
            <w:r>
              <w:rPr>
                <w:b/>
                <w:color w:val="C53030"/>
                <w:sz w:val="17"/>
              </w:rPr>
              <w:t>92.51% ± 2.39%</w:t>
            </w:r>
          </w:p>
        </w:tc>
        <w:tc>
          <w:tcPr>
            <w:tcW w:type="dxa" w:w="2340"/>
            <w:shd w:fill="FFFFFF"/>
            <w:tcMar>
              <w:top w:w="60" w:type="dxa"/>
              <w:bottom w:w="60" w:type="dxa"/>
              <w:left w:w="80" w:type="dxa"/>
              <w:right w:w="80" w:type="dxa"/>
            </w:tcMar>
            <w:vAlign w:val="center"/>
          </w:tcPr>
          <w:p>
            <w:pPr>
              <w:spacing w:line="276" w:lineRule="auto" w:after="0"/>
              <w:jc w:val="left"/>
            </w:pPr>
            <w:r>
              <w:rPr>
                <w:color w:val="4A5568"/>
                <w:sz w:val="16"/>
              </w:rPr>
              <w:t>results/summary.csv</w:t>
            </w:r>
          </w:p>
        </w:tc>
        <w:tc>
          <w:tcPr>
            <w:tcW w:type="dxa" w:w="2340"/>
            <w:shd w:fill="FFFFFF"/>
            <w:tcMar>
              <w:top w:w="60" w:type="dxa"/>
              <w:bottom w:w="60" w:type="dxa"/>
              <w:left w:w="80" w:type="dxa"/>
              <w:right w:w="80" w:type="dxa"/>
            </w:tcMar>
            <w:vAlign w:val="center"/>
          </w:tcPr>
          <w:p>
            <w:pPr>
              <w:spacing w:line="276" w:lineRule="auto" w:after="0"/>
              <w:jc w:val="left"/>
            </w:pPr>
            <w:r>
              <w:rPr>
                <w:color w:val="4A5568"/>
                <w:sz w:val="16"/>
              </w:rPr>
              <w:t>Abstract, §4, §7</w:t>
            </w:r>
          </w:p>
        </w:tc>
      </w:tr>
      <w:tr>
        <w:tc>
          <w:tcPr>
            <w:tcW w:type="dxa" w:w="2340"/>
            <w:shd w:fill="F7FAFC"/>
            <w:tcMar>
              <w:top w:w="60" w:type="dxa"/>
              <w:bottom w:w="60" w:type="dxa"/>
              <w:left w:w="80" w:type="dxa"/>
              <w:right w:w="80" w:type="dxa"/>
            </w:tcMar>
            <w:vAlign w:val="center"/>
          </w:tcPr>
          <w:p>
            <w:pPr>
              <w:spacing w:line="276" w:lineRule="auto" w:after="0"/>
              <w:jc w:val="left"/>
            </w:pPr>
            <w:r>
              <w:rPr>
                <w:b/>
                <w:color w:val="1A365D"/>
                <w:sz w:val="17"/>
              </w:rPr>
              <w:t>PhoBERT-large Benchmark</w:t>
            </w:r>
          </w:p>
        </w:tc>
        <w:tc>
          <w:tcPr>
            <w:tcW w:type="dxa" w:w="2340"/>
            <w:shd w:fill="F7FAFC"/>
            <w:tcMar>
              <w:top w:w="60" w:type="dxa"/>
              <w:bottom w:w="60" w:type="dxa"/>
              <w:left w:w="80" w:type="dxa"/>
              <w:right w:w="80" w:type="dxa"/>
            </w:tcMar>
            <w:vAlign w:val="center"/>
          </w:tcPr>
          <w:p>
            <w:pPr>
              <w:spacing w:line="276" w:lineRule="auto" w:after="0"/>
              <w:jc w:val="left"/>
            </w:pPr>
            <w:r>
              <w:rPr>
                <w:b/>
                <w:color w:val="C53030"/>
                <w:sz w:val="17"/>
              </w:rPr>
              <w:t>Accuracy 95.95% ± 1.57%, Scam Recall 92.33% ± 3.44%</w:t>
            </w:r>
          </w:p>
        </w:tc>
        <w:tc>
          <w:tcPr>
            <w:tcW w:type="dxa" w:w="2340"/>
            <w:shd w:fill="F7FAFC"/>
            <w:tcMar>
              <w:top w:w="60" w:type="dxa"/>
              <w:bottom w:w="60" w:type="dxa"/>
              <w:left w:w="80" w:type="dxa"/>
              <w:right w:w="80" w:type="dxa"/>
            </w:tcMar>
            <w:vAlign w:val="center"/>
          </w:tcPr>
          <w:p>
            <w:pPr>
              <w:spacing w:line="276" w:lineRule="auto" w:after="0"/>
              <w:jc w:val="left"/>
            </w:pPr>
            <w:r>
              <w:rPr>
                <w:color w:val="4A5568"/>
                <w:sz w:val="16"/>
              </w:rPr>
              <w:t>results/summary.csv</w:t>
            </w:r>
          </w:p>
        </w:tc>
        <w:tc>
          <w:tcPr>
            <w:tcW w:type="dxa" w:w="2340"/>
            <w:shd w:fill="F7FAFC"/>
            <w:tcMar>
              <w:top w:w="60" w:type="dxa"/>
              <w:bottom w:w="60" w:type="dxa"/>
              <w:left w:w="80" w:type="dxa"/>
              <w:right w:w="80" w:type="dxa"/>
            </w:tcMar>
            <w:vAlign w:val="center"/>
          </w:tcPr>
          <w:p>
            <w:pPr>
              <w:spacing w:line="276" w:lineRule="auto" w:after="0"/>
              <w:jc w:val="left"/>
            </w:pPr>
            <w:r>
              <w:rPr>
                <w:color w:val="4A5568"/>
                <w:sz w:val="16"/>
              </w:rPr>
              <w:t>§4 (Table II), §5.4</w:t>
            </w:r>
          </w:p>
        </w:tc>
      </w:tr>
      <w:tr>
        <w:tc>
          <w:tcPr>
            <w:tcW w:type="dxa" w:w="2340"/>
            <w:shd w:fill="FFFFFF"/>
            <w:tcMar>
              <w:top w:w="60" w:type="dxa"/>
              <w:bottom w:w="60" w:type="dxa"/>
              <w:left w:w="80" w:type="dxa"/>
              <w:right w:w="80" w:type="dxa"/>
            </w:tcMar>
            <w:vAlign w:val="center"/>
          </w:tcPr>
          <w:p>
            <w:pPr>
              <w:spacing w:line="276" w:lineRule="auto" w:after="0"/>
              <w:jc w:val="left"/>
            </w:pPr>
            <w:r>
              <w:rPr>
                <w:b/>
                <w:color w:val="1A365D"/>
                <w:sz w:val="17"/>
              </w:rPr>
              <w:t>Gemini 3.5 Flash Benchmark</w:t>
            </w:r>
          </w:p>
        </w:tc>
        <w:tc>
          <w:tcPr>
            <w:tcW w:type="dxa" w:w="2340"/>
            <w:shd w:fill="FFFFFF"/>
            <w:tcMar>
              <w:top w:w="60" w:type="dxa"/>
              <w:bottom w:w="60" w:type="dxa"/>
              <w:left w:w="80" w:type="dxa"/>
              <w:right w:w="80" w:type="dxa"/>
            </w:tcMar>
            <w:vAlign w:val="center"/>
          </w:tcPr>
          <w:p>
            <w:pPr>
              <w:spacing w:line="276" w:lineRule="auto" w:after="0"/>
              <w:jc w:val="left"/>
            </w:pPr>
            <w:r>
              <w:rPr>
                <w:b/>
                <w:color w:val="C53030"/>
                <w:sz w:val="17"/>
              </w:rPr>
              <w:t>Recall 100.00% nhưng Precision sụt giảm còn 64.47% ± 1.52%</w:t>
            </w:r>
          </w:p>
        </w:tc>
        <w:tc>
          <w:tcPr>
            <w:tcW w:type="dxa" w:w="2340"/>
            <w:shd w:fill="FFFFFF"/>
            <w:tcMar>
              <w:top w:w="60" w:type="dxa"/>
              <w:bottom w:w="60" w:type="dxa"/>
              <w:left w:w="80" w:type="dxa"/>
              <w:right w:w="80" w:type="dxa"/>
            </w:tcMar>
            <w:vAlign w:val="center"/>
          </w:tcPr>
          <w:p>
            <w:pPr>
              <w:spacing w:line="276" w:lineRule="auto" w:after="0"/>
              <w:jc w:val="left"/>
            </w:pPr>
            <w:r>
              <w:rPr>
                <w:color w:val="4A5568"/>
                <w:sz w:val="16"/>
              </w:rPr>
              <w:t>results/summary.csv</w:t>
            </w:r>
          </w:p>
        </w:tc>
        <w:tc>
          <w:tcPr>
            <w:tcW w:type="dxa" w:w="2340"/>
            <w:shd w:fill="FFFFFF"/>
            <w:tcMar>
              <w:top w:w="60" w:type="dxa"/>
              <w:bottom w:w="60" w:type="dxa"/>
              <w:left w:w="80" w:type="dxa"/>
              <w:right w:w="80" w:type="dxa"/>
            </w:tcMar>
            <w:vAlign w:val="center"/>
          </w:tcPr>
          <w:p>
            <w:pPr>
              <w:spacing w:line="276" w:lineRule="auto" w:after="0"/>
              <w:jc w:val="left"/>
            </w:pPr>
            <w:r>
              <w:rPr>
                <w:color w:val="4A5568"/>
                <w:sz w:val="16"/>
              </w:rPr>
              <w:t>Abstract, §1, §4, §5.2</w:t>
            </w:r>
          </w:p>
        </w:tc>
      </w:tr>
      <w:tr>
        <w:tc>
          <w:tcPr>
            <w:tcW w:type="dxa" w:w="2340"/>
            <w:shd w:fill="F7FAFC"/>
            <w:tcMar>
              <w:top w:w="60" w:type="dxa"/>
              <w:bottom w:w="60" w:type="dxa"/>
              <w:left w:w="80" w:type="dxa"/>
              <w:right w:w="80" w:type="dxa"/>
            </w:tcMar>
            <w:vAlign w:val="center"/>
          </w:tcPr>
          <w:p>
            <w:pPr>
              <w:spacing w:line="276" w:lineRule="auto" w:after="0"/>
              <w:jc w:val="left"/>
            </w:pPr>
            <w:r>
              <w:rPr>
                <w:b/>
                <w:color w:val="1A365D"/>
                <w:sz w:val="17"/>
              </w:rPr>
              <w:t>Kiểm định McNemar (ViSoBERT vs Gemini)</w:t>
            </w:r>
          </w:p>
        </w:tc>
        <w:tc>
          <w:tcPr>
            <w:tcW w:type="dxa" w:w="2340"/>
            <w:shd w:fill="F7FAFC"/>
            <w:tcMar>
              <w:top w:w="60" w:type="dxa"/>
              <w:bottom w:w="60" w:type="dxa"/>
              <w:left w:w="80" w:type="dxa"/>
              <w:right w:w="80" w:type="dxa"/>
            </w:tcMar>
            <w:vAlign w:val="center"/>
          </w:tcPr>
          <w:p>
            <w:pPr>
              <w:spacing w:line="276" w:lineRule="auto" w:after="0"/>
              <w:jc w:val="left"/>
            </w:pPr>
            <w:r>
              <w:rPr>
                <w:b/>
                <w:color w:val="2D3748"/>
                <w:sz w:val="17"/>
              </w:rPr>
              <w:t>chi2 = 30.625, p = 0.0000 (p &lt; 0.0001), Odds Ratio = 19.00</w:t>
            </w:r>
          </w:p>
        </w:tc>
        <w:tc>
          <w:tcPr>
            <w:tcW w:type="dxa" w:w="2340"/>
            <w:shd w:fill="F7FAFC"/>
            <w:tcMar>
              <w:top w:w="60" w:type="dxa"/>
              <w:bottom w:w="60" w:type="dxa"/>
              <w:left w:w="80" w:type="dxa"/>
              <w:right w:w="80" w:type="dxa"/>
            </w:tcMar>
            <w:vAlign w:val="center"/>
          </w:tcPr>
          <w:p>
            <w:pPr>
              <w:spacing w:line="276" w:lineRule="auto" w:after="0"/>
              <w:jc w:val="left"/>
            </w:pPr>
            <w:r>
              <w:rPr>
                <w:color w:val="4A5568"/>
                <w:sz w:val="16"/>
              </w:rPr>
              <w:t>results/mcnemar_analysis.csv</w:t>
            </w:r>
          </w:p>
        </w:tc>
        <w:tc>
          <w:tcPr>
            <w:tcW w:type="dxa" w:w="2340"/>
            <w:shd w:fill="F7FAFC"/>
            <w:tcMar>
              <w:top w:w="60" w:type="dxa"/>
              <w:bottom w:w="60" w:type="dxa"/>
              <w:left w:w="80" w:type="dxa"/>
              <w:right w:w="80" w:type="dxa"/>
            </w:tcMar>
            <w:vAlign w:val="center"/>
          </w:tcPr>
          <w:p>
            <w:pPr>
              <w:spacing w:line="276" w:lineRule="auto" w:after="0"/>
              <w:jc w:val="left"/>
            </w:pPr>
            <w:r>
              <w:rPr>
                <w:color w:val="4A5568"/>
                <w:sz w:val="16"/>
              </w:rPr>
              <w:t>Abstract, §4 (Table III), §7</w:t>
            </w:r>
          </w:p>
        </w:tc>
      </w:tr>
      <w:tr>
        <w:tc>
          <w:tcPr>
            <w:tcW w:type="dxa" w:w="2340"/>
            <w:shd w:fill="FFFFFF"/>
            <w:tcMar>
              <w:top w:w="60" w:type="dxa"/>
              <w:bottom w:w="60" w:type="dxa"/>
              <w:left w:w="80" w:type="dxa"/>
              <w:right w:w="80" w:type="dxa"/>
            </w:tcMar>
            <w:vAlign w:val="center"/>
          </w:tcPr>
          <w:p>
            <w:pPr>
              <w:spacing w:line="276" w:lineRule="auto" w:after="0"/>
              <w:jc w:val="left"/>
            </w:pPr>
            <w:r>
              <w:rPr>
                <w:b/>
                <w:color w:val="1A365D"/>
                <w:sz w:val="17"/>
              </w:rPr>
              <w:t>Kiểm định McNemar (ViSoBERT vs Baselines)</w:t>
            </w:r>
          </w:p>
        </w:tc>
        <w:tc>
          <w:tcPr>
            <w:tcW w:type="dxa" w:w="2340"/>
            <w:shd w:fill="FFFFFF"/>
            <w:tcMar>
              <w:top w:w="60" w:type="dxa"/>
              <w:bottom w:w="60" w:type="dxa"/>
              <w:left w:w="80" w:type="dxa"/>
              <w:right w:w="80" w:type="dxa"/>
            </w:tcMar>
            <w:vAlign w:val="center"/>
          </w:tcPr>
          <w:p>
            <w:pPr>
              <w:spacing w:line="276" w:lineRule="auto" w:after="0"/>
              <w:jc w:val="left"/>
            </w:pPr>
            <w:r>
              <w:rPr>
                <w:b/>
                <w:color w:val="2D3748"/>
                <w:sz w:val="17"/>
              </w:rPr>
              <w:t>Odds Ratio = 2.80 - 3.00 (Vượt trội về discordance positive)</w:t>
            </w:r>
          </w:p>
        </w:tc>
        <w:tc>
          <w:tcPr>
            <w:tcW w:type="dxa" w:w="2340"/>
            <w:shd w:fill="FFFFFF"/>
            <w:tcMar>
              <w:top w:w="60" w:type="dxa"/>
              <w:bottom w:w="60" w:type="dxa"/>
              <w:left w:w="80" w:type="dxa"/>
              <w:right w:w="80" w:type="dxa"/>
            </w:tcMar>
            <w:vAlign w:val="center"/>
          </w:tcPr>
          <w:p>
            <w:pPr>
              <w:spacing w:line="276" w:lineRule="auto" w:after="0"/>
              <w:jc w:val="left"/>
            </w:pPr>
            <w:r>
              <w:rPr>
                <w:color w:val="4A5568"/>
                <w:sz w:val="16"/>
              </w:rPr>
              <w:t>results/mcnemar_analysis.csv</w:t>
            </w:r>
          </w:p>
        </w:tc>
        <w:tc>
          <w:tcPr>
            <w:tcW w:type="dxa" w:w="2340"/>
            <w:shd w:fill="FFFFFF"/>
            <w:tcMar>
              <w:top w:w="60" w:type="dxa"/>
              <w:bottom w:w="60" w:type="dxa"/>
              <w:left w:w="80" w:type="dxa"/>
              <w:right w:w="80" w:type="dxa"/>
            </w:tcMar>
            <w:vAlign w:val="center"/>
          </w:tcPr>
          <w:p>
            <w:pPr>
              <w:spacing w:line="276" w:lineRule="auto" w:after="0"/>
              <w:jc w:val="left"/>
            </w:pPr>
            <w:r>
              <w:rPr>
                <w:color w:val="4A5568"/>
                <w:sz w:val="16"/>
              </w:rPr>
              <w:t>§4 (Table III)</w:t>
            </w:r>
          </w:p>
        </w:tc>
      </w:tr>
      <w:tr>
        <w:tc>
          <w:tcPr>
            <w:tcW w:type="dxa" w:w="2340"/>
            <w:shd w:fill="F7FAFC"/>
            <w:tcMar>
              <w:top w:w="60" w:type="dxa"/>
              <w:bottom w:w="60" w:type="dxa"/>
              <w:left w:w="80" w:type="dxa"/>
              <w:right w:w="80" w:type="dxa"/>
            </w:tcMar>
            <w:vAlign w:val="center"/>
          </w:tcPr>
          <w:p>
            <w:pPr>
              <w:spacing w:line="276" w:lineRule="auto" w:after="0"/>
              <w:jc w:val="left"/>
            </w:pPr>
            <w:r>
              <w:rPr>
                <w:b/>
                <w:color w:val="1A365D"/>
                <w:sz w:val="17"/>
              </w:rPr>
              <w:t>Tham số mô hình &amp; ONNX</w:t>
            </w:r>
          </w:p>
        </w:tc>
        <w:tc>
          <w:tcPr>
            <w:tcW w:type="dxa" w:w="2340"/>
            <w:shd w:fill="F7FAFC"/>
            <w:tcMar>
              <w:top w:w="60" w:type="dxa"/>
              <w:bottom w:w="60" w:type="dxa"/>
              <w:left w:w="80" w:type="dxa"/>
              <w:right w:w="80" w:type="dxa"/>
            </w:tcMar>
            <w:vAlign w:val="center"/>
          </w:tcPr>
          <w:p>
            <w:pPr>
              <w:spacing w:line="276" w:lineRule="auto" w:after="0"/>
              <w:jc w:val="left"/>
            </w:pPr>
            <w:r>
              <w:rPr>
                <w:b/>
                <w:color w:val="2D3748"/>
                <w:sz w:val="17"/>
              </w:rPr>
              <w:t>110M params, opset=18, size 390 MB, latency 15.8 ms</w:t>
            </w:r>
          </w:p>
        </w:tc>
        <w:tc>
          <w:tcPr>
            <w:tcW w:type="dxa" w:w="2340"/>
            <w:shd w:fill="F7FAFC"/>
            <w:tcMar>
              <w:top w:w="60" w:type="dxa"/>
              <w:bottom w:w="60" w:type="dxa"/>
              <w:left w:w="80" w:type="dxa"/>
              <w:right w:w="80" w:type="dxa"/>
            </w:tcMar>
            <w:vAlign w:val="center"/>
          </w:tcPr>
          <w:p>
            <w:pPr>
              <w:spacing w:line="276" w:lineRule="auto" w:after="0"/>
              <w:jc w:val="left"/>
            </w:pPr>
            <w:r>
              <w:rPr>
                <w:color w:val="4A5568"/>
                <w:sz w:val="16"/>
              </w:rPr>
              <w:t>models/scamshield_config.json</w:t>
              <w:br/>
              <w:t>models/visobert_tier1.onnx</w:t>
            </w:r>
          </w:p>
        </w:tc>
        <w:tc>
          <w:tcPr>
            <w:tcW w:type="dxa" w:w="2340"/>
            <w:shd w:fill="F7FAFC"/>
            <w:tcMar>
              <w:top w:w="60" w:type="dxa"/>
              <w:bottom w:w="60" w:type="dxa"/>
              <w:left w:w="80" w:type="dxa"/>
              <w:right w:w="80" w:type="dxa"/>
            </w:tcMar>
            <w:vAlign w:val="center"/>
          </w:tcPr>
          <w:p>
            <w:pPr>
              <w:spacing w:line="276" w:lineRule="auto" w:after="0"/>
              <w:jc w:val="left"/>
            </w:pPr>
            <w:r>
              <w:rPr>
                <w:color w:val="4A5568"/>
                <w:sz w:val="16"/>
              </w:rPr>
              <w:t>Abstract, §3.2</w:t>
            </w:r>
          </w:p>
        </w:tc>
      </w:tr>
      <w:tr>
        <w:tc>
          <w:tcPr>
            <w:tcW w:type="dxa" w:w="2340"/>
            <w:shd w:fill="FFFFFF"/>
            <w:tcMar>
              <w:top w:w="60" w:type="dxa"/>
              <w:bottom w:w="60" w:type="dxa"/>
              <w:left w:w="80" w:type="dxa"/>
              <w:right w:w="80" w:type="dxa"/>
            </w:tcMar>
            <w:vAlign w:val="center"/>
          </w:tcPr>
          <w:p>
            <w:pPr>
              <w:spacing w:line="276" w:lineRule="auto" w:after="0"/>
              <w:jc w:val="left"/>
            </w:pPr>
            <w:r>
              <w:rPr>
                <w:b/>
                <w:color w:val="1A365D"/>
                <w:sz w:val="17"/>
              </w:rPr>
              <w:t>Trọng số hàm mất mát (alpha)</w:t>
            </w:r>
          </w:p>
        </w:tc>
        <w:tc>
          <w:tcPr>
            <w:tcW w:type="dxa" w:w="2340"/>
            <w:shd w:fill="FFFFFF"/>
            <w:tcMar>
              <w:top w:w="60" w:type="dxa"/>
              <w:bottom w:w="60" w:type="dxa"/>
              <w:left w:w="80" w:type="dxa"/>
              <w:right w:w="80" w:type="dxa"/>
            </w:tcMar>
            <w:vAlign w:val="center"/>
          </w:tcPr>
          <w:p>
            <w:pPr>
              <w:spacing w:line="276" w:lineRule="auto" w:after="0"/>
              <w:jc w:val="left"/>
            </w:pPr>
            <w:r>
              <w:rPr>
                <w:b/>
                <w:color w:val="C53030"/>
                <w:sz w:val="17"/>
              </w:rPr>
              <w:t>alpha = 5.0 (Phạt gấp 5 lần khi bỏ lọt tin nhắn lừa đảo)</w:t>
            </w:r>
          </w:p>
        </w:tc>
        <w:tc>
          <w:tcPr>
            <w:tcW w:type="dxa" w:w="2340"/>
            <w:shd w:fill="FFFFFF"/>
            <w:tcMar>
              <w:top w:w="60" w:type="dxa"/>
              <w:bottom w:w="60" w:type="dxa"/>
              <w:left w:w="80" w:type="dxa"/>
              <w:right w:w="80" w:type="dxa"/>
            </w:tcMar>
            <w:vAlign w:val="center"/>
          </w:tcPr>
          <w:p>
            <w:pPr>
              <w:spacing w:line="276" w:lineRule="auto" w:after="0"/>
              <w:jc w:val="left"/>
            </w:pPr>
            <w:r>
              <w:rPr>
                <w:color w:val="4A5568"/>
                <w:sz w:val="16"/>
              </w:rPr>
              <w:t>team-synthesis/proposal.md (§5.3)</w:t>
            </w:r>
          </w:p>
        </w:tc>
        <w:tc>
          <w:tcPr>
            <w:tcW w:type="dxa" w:w="2340"/>
            <w:shd w:fill="FFFFFF"/>
            <w:tcMar>
              <w:top w:w="60" w:type="dxa"/>
              <w:bottom w:w="60" w:type="dxa"/>
              <w:left w:w="80" w:type="dxa"/>
              <w:right w:w="80" w:type="dxa"/>
            </w:tcMar>
            <w:vAlign w:val="center"/>
          </w:tcPr>
          <w:p>
            <w:pPr>
              <w:spacing w:line="276" w:lineRule="auto" w:after="0"/>
              <w:jc w:val="left"/>
            </w:pPr>
            <w:r>
              <w:rPr>
                <w:color w:val="4A5568"/>
                <w:sz w:val="16"/>
              </w:rPr>
              <w:t>Abstract, §3.3, §5.1</w:t>
            </w:r>
          </w:p>
        </w:tc>
      </w:tr>
      <w:tr>
        <w:tc>
          <w:tcPr>
            <w:tcW w:type="dxa" w:w="2340"/>
            <w:shd w:fill="F7FAFC"/>
            <w:tcMar>
              <w:top w:w="60" w:type="dxa"/>
              <w:bottom w:w="60" w:type="dxa"/>
              <w:left w:w="80" w:type="dxa"/>
              <w:right w:w="80" w:type="dxa"/>
            </w:tcMar>
            <w:vAlign w:val="center"/>
          </w:tcPr>
          <w:p>
            <w:pPr>
              <w:spacing w:line="276" w:lineRule="auto" w:after="0"/>
              <w:jc w:val="left"/>
            </w:pPr>
            <w:r>
              <w:rPr>
                <w:b/>
                <w:color w:val="1A365D"/>
                <w:sz w:val="17"/>
              </w:rPr>
              <w:t>Ngưỡng định tuyến Tier 1 -&gt; Tier 2</w:t>
            </w:r>
          </w:p>
        </w:tc>
        <w:tc>
          <w:tcPr>
            <w:tcW w:type="dxa" w:w="2340"/>
            <w:shd w:fill="F7FAFC"/>
            <w:tcMar>
              <w:top w:w="60" w:type="dxa"/>
              <w:bottom w:w="60" w:type="dxa"/>
              <w:left w:w="80" w:type="dxa"/>
              <w:right w:w="80" w:type="dxa"/>
            </w:tcMar>
            <w:vAlign w:val="center"/>
          </w:tcPr>
          <w:p>
            <w:pPr>
              <w:spacing w:line="276" w:lineRule="auto" w:after="0"/>
              <w:jc w:val="left"/>
            </w:pPr>
            <w:r>
              <w:rPr>
                <w:b/>
                <w:color w:val="2D3748"/>
                <w:sz w:val="17"/>
              </w:rPr>
              <w:t>tau = 0.90 (Xử lý tại biên nếu P &gt;= 0.90, chuyển Hội đồng nếu &lt; 0.90)</w:t>
            </w:r>
          </w:p>
        </w:tc>
        <w:tc>
          <w:tcPr>
            <w:tcW w:type="dxa" w:w="2340"/>
            <w:shd w:fill="F7FAFC"/>
            <w:tcMar>
              <w:top w:w="60" w:type="dxa"/>
              <w:bottom w:w="60" w:type="dxa"/>
              <w:left w:w="80" w:type="dxa"/>
              <w:right w:w="80" w:type="dxa"/>
            </w:tcMar>
            <w:vAlign w:val="center"/>
          </w:tcPr>
          <w:p>
            <w:pPr>
              <w:spacing w:line="276" w:lineRule="auto" w:after="0"/>
              <w:jc w:val="left"/>
            </w:pPr>
            <w:r>
              <w:rPr>
                <w:color w:val="4A5568"/>
                <w:sz w:val="16"/>
              </w:rPr>
              <w:t>team-synthesis/proposal_amendment_v1.1.md</w:t>
            </w:r>
          </w:p>
        </w:tc>
        <w:tc>
          <w:tcPr>
            <w:tcW w:type="dxa" w:w="2340"/>
            <w:shd w:fill="F7FAFC"/>
            <w:tcMar>
              <w:top w:w="60" w:type="dxa"/>
              <w:bottom w:w="60" w:type="dxa"/>
              <w:left w:w="80" w:type="dxa"/>
              <w:right w:w="80" w:type="dxa"/>
            </w:tcMar>
            <w:vAlign w:val="center"/>
          </w:tcPr>
          <w:p>
            <w:pPr>
              <w:spacing w:line="276" w:lineRule="auto" w:after="0"/>
              <w:jc w:val="left"/>
            </w:pPr>
            <w:r>
              <w:rPr>
                <w:color w:val="4A5568"/>
                <w:sz w:val="16"/>
              </w:rPr>
              <w:t>§1, §3.4, §5.3</w:t>
            </w:r>
          </w:p>
        </w:tc>
      </w:tr>
      <w:tr>
        <w:tc>
          <w:tcPr>
            <w:tcW w:type="dxa" w:w="2340"/>
            <w:shd w:fill="FFFFFF"/>
            <w:tcMar>
              <w:top w:w="60" w:type="dxa"/>
              <w:bottom w:w="60" w:type="dxa"/>
              <w:left w:w="80" w:type="dxa"/>
              <w:right w:w="80" w:type="dxa"/>
            </w:tcMar>
            <w:vAlign w:val="center"/>
          </w:tcPr>
          <w:p>
            <w:pPr>
              <w:spacing w:line="276" w:lineRule="auto" w:after="0"/>
              <w:jc w:val="left"/>
            </w:pPr>
            <w:r>
              <w:rPr>
                <w:b/>
                <w:color w:val="1A365D"/>
                <w:sz w:val="17"/>
              </w:rPr>
              <w:t>Danh sách 5 Random Seeds</w:t>
            </w:r>
          </w:p>
        </w:tc>
        <w:tc>
          <w:tcPr>
            <w:tcW w:type="dxa" w:w="2340"/>
            <w:shd w:fill="FFFFFF"/>
            <w:tcMar>
              <w:top w:w="60" w:type="dxa"/>
              <w:bottom w:w="60" w:type="dxa"/>
              <w:left w:w="80" w:type="dxa"/>
              <w:right w:w="80" w:type="dxa"/>
            </w:tcMar>
            <w:vAlign w:val="center"/>
          </w:tcPr>
          <w:p>
            <w:pPr>
              <w:spacing w:line="276" w:lineRule="auto" w:after="0"/>
              <w:jc w:val="left"/>
            </w:pPr>
            <w:r>
              <w:rPr>
                <w:b/>
                <w:color w:val="2D3748"/>
                <w:sz w:val="17"/>
              </w:rPr>
              <w:t>[42, 100, 123, 999, 2026]</w:t>
            </w:r>
          </w:p>
        </w:tc>
        <w:tc>
          <w:tcPr>
            <w:tcW w:type="dxa" w:w="2340"/>
            <w:shd w:fill="FFFFFF"/>
            <w:tcMar>
              <w:top w:w="60" w:type="dxa"/>
              <w:bottom w:w="60" w:type="dxa"/>
              <w:left w:w="80" w:type="dxa"/>
              <w:right w:w="80" w:type="dxa"/>
            </w:tcMar>
            <w:vAlign w:val="center"/>
          </w:tcPr>
          <w:p>
            <w:pPr>
              <w:spacing w:line="276" w:lineRule="auto" w:after="0"/>
              <w:jc w:val="left"/>
            </w:pPr>
            <w:r>
              <w:rPr>
                <w:color w:val="4A5568"/>
                <w:sz w:val="16"/>
              </w:rPr>
              <w:t>results/summary_5runs_detailed.csv</w:t>
            </w:r>
          </w:p>
        </w:tc>
        <w:tc>
          <w:tcPr>
            <w:tcW w:type="dxa" w:w="2340"/>
            <w:shd w:fill="FFFFFF"/>
            <w:tcMar>
              <w:top w:w="60" w:type="dxa"/>
              <w:bottom w:w="60" w:type="dxa"/>
              <w:left w:w="80" w:type="dxa"/>
              <w:right w:w="80" w:type="dxa"/>
            </w:tcMar>
            <w:vAlign w:val="center"/>
          </w:tcPr>
          <w:p>
            <w:pPr>
              <w:spacing w:line="276" w:lineRule="auto" w:after="0"/>
              <w:jc w:val="left"/>
            </w:pPr>
            <w:r>
              <w:rPr>
                <w:color w:val="4A5568"/>
                <w:sz w:val="16"/>
              </w:rPr>
              <w:t>§3.5, §4.1, §6.1</w:t>
            </w:r>
          </w:p>
        </w:tc>
      </w:tr>
    </w:tbl>
    <w:p>
      <w:pPr>
        <w:spacing w:after="120"/>
      </w:pPr>
    </w:p>
    <w:p>
      <w:pPr>
        <w:keepNext/>
        <w:spacing w:before="320" w:after="120"/>
      </w:pPr>
      <w:r>
        <w:rPr>
          <w:rFonts w:ascii="Arial" w:hAnsi="Arial"/>
          <w:b/>
          <w:color w:val="1A365D"/>
          <w:sz w:val="28"/>
        </w:rPr>
        <w:t>PHẦN 3: WRITING CONVENTIONS (QUY CHUẨN SOẠN THẢO BÀI BÁO IEEE)</w:t>
      </w:r>
    </w:p>
    <w:p>
      <w:pPr>
        <w:keepNext/>
        <w:spacing w:before="240" w:after="80"/>
      </w:pPr>
      <w:r>
        <w:rPr>
          <w:rFonts w:ascii="Arial" w:hAnsi="Arial"/>
          <w:b/>
          <w:color w:val="2B6CB0"/>
          <w:sz w:val="24"/>
        </w:rPr>
        <w:t>3.1. Phong cách và giọng văn học thuật (Academic Tone)</w:t>
      </w:r>
    </w:p>
    <w:p>
      <w:pPr>
        <w:pStyle w:val="ListBullet"/>
        <w:spacing w:before="40" w:after="60" w:line="276" w:lineRule="auto"/>
      </w:pPr>
      <w:r>
        <w:rPr>
          <w:b/>
          <w:color w:val="1A365D"/>
        </w:rPr>
        <w:t xml:space="preserve">Quy tắc thì (Tense): </w:t>
      </w:r>
      <w:r>
        <w:t>Sử dụng thì Quá khứ đơn (Past Simple) khi mô tả các bước thực nghiệm nhóm đã tiến hành ('We curated a unified corpus...', 'Models were trained utilizing the AdamW optimizer...').</w:t>
      </w:r>
    </w:p>
    <w:p>
      <w:pPr>
        <w:pStyle w:val="ListBullet"/>
        <w:spacing w:before="40" w:after="60" w:line="276" w:lineRule="auto"/>
      </w:pPr>
      <w:r>
        <w:rPr>
          <w:b/>
          <w:color w:val="1A365D"/>
        </w:rPr>
        <w:t xml:space="preserve">Chân lý &amp; Bảng biểu: </w:t>
      </w:r>
      <w:r>
        <w:t>Sử dụng thì Hiện tại đơn (Present Simple) khi diễn giải các sự thật khoa học, nội dung đang hiển thị trên bảng/hình hoặc chân lý toán học ('Table II presents the empirical results...', 'Equation (1) defines the loss function...').</w:t>
      </w:r>
    </w:p>
    <w:p>
      <w:pPr>
        <w:pStyle w:val="ListBullet"/>
        <w:spacing w:before="40" w:after="60" w:line="276" w:lineRule="auto"/>
      </w:pPr>
      <w:r>
        <w:rPr>
          <w:b/>
          <w:color w:val="1A365D"/>
        </w:rPr>
        <w:t xml:space="preserve">Cấm viết tắt đời thường: </w:t>
      </w:r>
      <w:r>
        <w:t>Tuyệt đối KHÔNG sử dụng từ viết tắt hội thoại: Viết 'do not' thay vì 'don't', viết 'cannot' thay vì 'can't', viết 'it is' thay vì 'it's'.</w:t>
      </w:r>
    </w:p>
    <w:p>
      <w:pPr>
        <w:pStyle w:val="ListBullet"/>
        <w:spacing w:before="40" w:after="60" w:line="276" w:lineRule="auto"/>
      </w:pPr>
      <w:r>
        <w:rPr>
          <w:b/>
          <w:color w:val="1A365D"/>
        </w:rPr>
        <w:t xml:space="preserve">Khách quan định lượng: </w:t>
      </w:r>
      <w:r>
        <w:t>Tránh dùng từ ngữ cảm tính ('extremely good', 'miraculously'). Thay bằng thuật ngữ định lượng chính xác ('demonstrated statistically significant improvement (p &lt; 0.001)', 'achieved superior Scam Recall of 95.62%').</w:t>
      </w:r>
    </w:p>
    <w:p>
      <w:pPr>
        <w:keepNext/>
        <w:spacing w:before="240" w:after="80"/>
      </w:pPr>
      <w:r>
        <w:rPr>
          <w:rFonts w:ascii="Arial" w:hAnsi="Arial"/>
          <w:b/>
          <w:color w:val="2B6CB0"/>
          <w:sz w:val="24"/>
        </w:rPr>
        <w:t>3.2. Quy chuẩn Trình bày Toán học &amp; Ký hiệu LaTeX</w:t>
      </w:r>
    </w:p>
    <w:p>
      <w:pPr>
        <w:pStyle w:val="ListBullet"/>
        <w:spacing w:before="40" w:after="60" w:line="276" w:lineRule="auto"/>
      </w:pPr>
      <w:r>
        <w:rPr>
          <w:b/>
          <w:color w:val="1A365D"/>
        </w:rPr>
        <w:t xml:space="preserve">Biến số: </w:t>
      </w:r>
      <w:r>
        <w:t>Biến số đơn lẻ phải in nghiêng trong môi trường toán: $y_i$, $\hat{y}_i$, $N$, $\alpha$, $\tau$.</w:t>
      </w:r>
    </w:p>
    <w:p>
      <w:pPr>
        <w:pStyle w:val="ListBullet"/>
        <w:spacing w:before="40" w:after="60" w:line="276" w:lineRule="auto"/>
      </w:pPr>
      <w:r>
        <w:rPr>
          <w:b/>
          <w:color w:val="1A365D"/>
        </w:rPr>
        <w:t xml:space="preserve">Tên hàm / Chỉ số: </w:t>
      </w:r>
      <w:r>
        <w:t>Các hàm mất mát hoặc tên viết tắt nhiều chữ số viết bằng \text{...}: $\mathcal{L}_{\text{WBCE}}$, $\text{Recall}$, $\text{FPR}$.</w:t>
      </w:r>
    </w:p>
    <w:p>
      <w:pPr>
        <w:pStyle w:val="ListBullet"/>
        <w:spacing w:before="40" w:after="60" w:line="276" w:lineRule="auto"/>
      </w:pPr>
      <w:r>
        <w:rPr>
          <w:b/>
          <w:color w:val="1A365D"/>
        </w:rPr>
        <w:t xml:space="preserve">Đánh số công thức: </w:t>
      </w:r>
      <w:r>
        <w:t>Mọi công thức quan trọng đều phải đánh số phương trình tự động bằng \begin{equation} và gán nhãn \label{eq:...}. Khi nhắc lại trong bài báo, bắt buộc dùng \eqref{eq:...} hoặc Eq.~\eqref{eq:...}.</w:t>
      </w:r>
    </w:p>
    <w:p>
      <w:pPr>
        <w:keepNext/>
        <w:spacing w:before="240" w:after="80"/>
      </w:pPr>
      <w:r>
        <w:rPr>
          <w:rFonts w:ascii="Arial" w:hAnsi="Arial"/>
          <w:b/>
          <w:color w:val="2B6CB0"/>
          <w:sz w:val="24"/>
        </w:rPr>
        <w:t>3.3. Quy chuẩn Bảng biểu (Tables) &amp; Hình ảnh (Figures)</w:t>
      </w:r>
    </w:p>
    <w:p>
      <w:pPr>
        <w:pStyle w:val="ListBullet"/>
        <w:spacing w:before="40" w:after="60" w:line="276" w:lineRule="auto"/>
      </w:pPr>
      <w:r>
        <w:rPr>
          <w:b/>
          <w:color w:val="1A365D"/>
        </w:rPr>
        <w:t xml:space="preserve">Vị trí Caption Bảng: </w:t>
      </w:r>
      <w:r>
        <w:t>Tiêu đề của BẢNG (\caption{...}) BẮT BUỘC đặt Ở TRÊN bảng. Dùng bảng 2 cột bằng môi trường \begin{table*}[t].</w:t>
      </w:r>
    </w:p>
    <w:p>
      <w:pPr>
        <w:pStyle w:val="ListBullet"/>
        <w:spacing w:before="40" w:after="60" w:line="276" w:lineRule="auto"/>
      </w:pPr>
      <w:r>
        <w:rPr>
          <w:b/>
          <w:color w:val="1A365D"/>
        </w:rPr>
        <w:t xml:space="preserve">Vị trí Caption Hình: </w:t>
      </w:r>
      <w:r>
        <w:t>Tiêu đề của HÌNH (\caption{...}) BẮT BUỘC đặt Ở DƯỚI hình. Dùng hình 2 cột bằng môi trường \begin{figure*}[t].</w:t>
      </w:r>
    </w:p>
    <w:p>
      <w:pPr>
        <w:pStyle w:val="ListBullet"/>
        <w:spacing w:before="40" w:after="60" w:line="276" w:lineRule="auto"/>
      </w:pPr>
      <w:r>
        <w:rPr>
          <w:b/>
          <w:color w:val="1A365D"/>
        </w:rPr>
        <w:t xml:space="preserve">Dẫn chiếu bắt buộc: </w:t>
      </w:r>
      <w:r>
        <w:t>Mọi bảng và hình xuất hiện trong bài báo đều PHẢI ĐƯỢC NHẮC ĐẾN ít nhất một lần trong văn bản chính (ví dụ: 'As illustrated in Fig.~\ref{fig:model_perf}...' hoặc 'Table~\ref{tab:benchmark_summary} demonstrates...'). Tuyệt đối không để bảng/hình trôi nổi mà không có lời dẫn.</w:t>
      </w:r>
    </w:p>
    <w:p>
      <w:pPr>
        <w:keepNext/>
        <w:spacing w:before="240" w:after="80"/>
      </w:pPr>
      <w:r>
        <w:rPr>
          <w:rFonts w:ascii="Arial" w:hAnsi="Arial"/>
          <w:b/>
          <w:color w:val="2B6CB0"/>
          <w:sz w:val="24"/>
        </w:rPr>
        <w:t>3.4. Nguyên tắc Nghiên cứu Cốt lõi (RESEARCH_RULES.md)</w:t>
      </w:r>
    </w:p>
    <w:p>
      <w:pPr>
        <w:pStyle w:val="ListBullet"/>
        <w:spacing w:before="40" w:after="60" w:line="276" w:lineRule="auto"/>
      </w:pPr>
      <w:r>
        <w:rPr>
          <w:b/>
          <w:color w:val="1A365D"/>
        </w:rPr>
        <w:t xml:space="preserve">Phân lập vai trò (LR != MS): </w:t>
      </w:r>
      <w:r>
        <w:t>Data &amp; Edge Pipeline Specialist (LR) và Metrics &amp; Statistics Specialist (MS) là 2 vai trò độc lập. Người chuẩn bị dữ liệu và xuất mô hình không được tự chấm điểm hoặc chạy kiểm định thống kê.</w:t>
      </w:r>
    </w:p>
    <w:p>
      <w:pPr>
        <w:pStyle w:val="ListBullet"/>
        <w:spacing w:before="40" w:after="60" w:line="276" w:lineRule="auto"/>
      </w:pPr>
      <w:r>
        <w:rPr>
          <w:b/>
          <w:color w:val="1A365D"/>
        </w:rPr>
        <w:t xml:space="preserve">Tách bạch §4 Results và §5 Discussion: </w:t>
      </w:r>
      <w:r>
        <w:t>Section 4 (Results) chỉ có nhiệm vụ báo cáo sự thật số liệu trung thực, nghiêm cấm suy diễn chủ quan hoặc giải thích nguyên nhân tại §4. Toàn bộ phần lý giải nguyên nhân, cơ chế và trade-off phải chuyển sang Section 5 (Discussion).</w:t>
      </w:r>
    </w:p>
    <w:p>
      <w:pPr>
        <w:pStyle w:val="ListBullet"/>
        <w:spacing w:before="40" w:after="60" w:line="276" w:lineRule="auto"/>
      </w:pPr>
      <w:r>
        <w:rPr>
          <w:b/>
          <w:color w:val="1A365D"/>
        </w:rPr>
        <w:t xml:space="preserve">Cấm HARKing (Hypothesizing After the Results are Known): </w:t>
      </w:r>
      <w:r>
        <w:t>Không được thay đổi Research Question hoặc đổi metric sau khi đã nhìn thấy kết quả kiểm định để làm đẹp số liệu. Mọi đánh giá phải tuân thủ đúng cam kết tiền đăng ký.</w:t>
      </w:r>
    </w:p>
    <w:p>
      <w:pPr>
        <w:pStyle w:val="ListBullet"/>
        <w:spacing w:before="40" w:after="60" w:line="276" w:lineRule="auto"/>
      </w:pPr>
      <w:r>
        <w:rPr>
          <w:b/>
          <w:color w:val="1A365D"/>
        </w:rPr>
        <w:t xml:space="preserve">Giới hạn sử dụng AI (AI Usage Declaration): </w:t>
      </w:r>
      <w:r>
        <w:t>Được phép dùng AI hỗ trợ trau chuốt ngữ pháp tiếng Anh, nhưng toàn bộ ý tưởng khoa học, số liệu thực nghiệm và lập luận phải do con người làm chủ. Điểm AI Detector bắt buộc duy trì &lt;= 18% theo chuẩn RBL-5b.</w:t>
      </w:r>
    </w:p>
    <w:p>
      <w:pPr>
        <w:keepNext/>
        <w:spacing w:before="320" w:after="120"/>
      </w:pPr>
      <w:r>
        <w:rPr>
          <w:rFonts w:ascii="Arial" w:hAnsi="Arial"/>
          <w:b/>
          <w:color w:val="1A365D"/>
          <w:sz w:val="28"/>
        </w:rPr>
        <w:t>PHẦN 4: HỆ THỐNG FILE MARKDOWN THIẾT YẾU CHO AI AGENT &amp; THÀNH VIÊN</w:t>
      </w:r>
    </w:p>
    <w:p>
      <w:r>
        <w:t xml:space="preserve">Khi thành viên sử dụng AI Coding Assistants (Google Antigravity, Gemini, ChatGPT, Claude) để hỗ trợ viết hoặc review bài báo, </w:t>
      </w:r>
      <w:r>
        <w:rPr>
          <w:b/>
        </w:rPr>
        <w:t>bắt buộc phải chỉ định Agent đọc các file .md tham chiếu dưới đây</w:t>
      </w:r>
      <w:r>
        <w:t xml:space="preserve"> để tránh trường hợp AI bịa số hoặc lạc đề:</w:t>
      </w:r>
    </w:p>
    <w:tbl>
      <w:tblPr>
        <w:tblW w:type="auto" w:w="0"/>
        <w:jc w:val="center"/>
        <w:tblLook w:firstColumn="1" w:firstRow="1" w:lastColumn="0" w:lastRow="0" w:noHBand="0" w:noVBand="1" w:val="04A0"/>
        <w:tblBorders>
          <w:top w:val="single" w:sz="6" w:space="0" w:color="CBD5E0"/>
          <w:bottom w:val="single" w:sz="6" w:space="0" w:color="CBD5E0"/>
          <w:insideH w:val="single" w:sz="6" w:space="0" w:color="CBD5E0"/>
          <w:insideV w:val="none"/>
          <w:left w:val="none"/>
          <w:right w:val="none"/>
        </w:tblBorders>
      </w:tblPr>
      <w:tblGrid>
        <w:gridCol w:w="3120"/>
        <w:gridCol w:w="3120"/>
        <w:gridCol w:w="3120"/>
      </w:tblGrid>
      <w:tr>
        <w:tc>
          <w:tcPr>
            <w:tcW w:type="dxa" w:w="3120"/>
            <w:shd w:fill="1A365D"/>
            <w:tcMar>
              <w:top w:w="80" w:type="dxa"/>
              <w:bottom w:w="80" w:type="dxa"/>
              <w:left w:w="100" w:type="dxa"/>
              <w:right w:w="100" w:type="dxa"/>
            </w:tcMar>
          </w:tcPr>
          <w:p>
            <w:pPr>
              <w:jc w:val="center"/>
            </w:pPr>
            <w:r>
              <w:rPr>
                <w:b/>
                <w:color w:val="FFFFFF"/>
                <w:sz w:val="19"/>
              </w:rPr>
              <w:t>Nhóm tài liệu</w:t>
            </w:r>
          </w:p>
        </w:tc>
        <w:tc>
          <w:tcPr>
            <w:tcW w:type="dxa" w:w="3120"/>
            <w:shd w:fill="1A365D"/>
            <w:tcMar>
              <w:top w:w="80" w:type="dxa"/>
              <w:bottom w:w="80" w:type="dxa"/>
              <w:left w:w="100" w:type="dxa"/>
              <w:right w:w="100" w:type="dxa"/>
            </w:tcMar>
          </w:tcPr>
          <w:p>
            <w:pPr>
              <w:jc w:val="center"/>
            </w:pPr>
            <w:r>
              <w:rPr>
                <w:b/>
                <w:color w:val="FFFFFF"/>
                <w:sz w:val="19"/>
              </w:rPr>
              <w:t>Đường dẫn file trong Repository</w:t>
            </w:r>
          </w:p>
        </w:tc>
        <w:tc>
          <w:tcPr>
            <w:tcW w:type="dxa" w:w="3120"/>
            <w:shd w:fill="1A365D"/>
            <w:tcMar>
              <w:top w:w="80" w:type="dxa"/>
              <w:bottom w:w="80" w:type="dxa"/>
              <w:left w:w="100" w:type="dxa"/>
              <w:right w:w="100" w:type="dxa"/>
            </w:tcMar>
          </w:tcPr>
          <w:p>
            <w:pPr>
              <w:jc w:val="center"/>
            </w:pPr>
            <w:r>
              <w:rPr>
                <w:b/>
                <w:color w:val="FFFFFF"/>
                <w:sz w:val="19"/>
              </w:rPr>
              <w:t>Mục đích sử dụng &amp; Nội dung chính</w:t>
            </w:r>
          </w:p>
        </w:tc>
      </w:tr>
      <w:tr>
        <w:tc>
          <w:tcPr>
            <w:tcW w:type="dxa" w:w="3120"/>
            <w:shd w:fill="FFFFFF"/>
            <w:tcMar>
              <w:top w:w="60" w:type="dxa"/>
              <w:bottom w:w="60" w:type="dxa"/>
              <w:left w:w="80" w:type="dxa"/>
              <w:right w:w="80" w:type="dxa"/>
            </w:tcMar>
            <w:vAlign w:val="center"/>
          </w:tcPr>
          <w:p>
            <w:pPr>
              <w:spacing w:line="276" w:lineRule="auto" w:after="0"/>
              <w:jc w:val="center"/>
            </w:pPr>
            <w:r>
              <w:rPr>
                <w:b/>
                <w:color w:val="1A365D"/>
                <w:sz w:val="17"/>
              </w:rPr>
              <w:t>Cẩm nang Quy chế RBL</w:t>
              <w:br/>
              <w:t>(rbl_docs/)</w:t>
            </w:r>
          </w:p>
        </w:tc>
        <w:tc>
          <w:tcPr>
            <w:tcW w:type="dxa" w:w="3120"/>
            <w:shd w:fill="FFFFFF"/>
            <w:tcMar>
              <w:top w:w="60" w:type="dxa"/>
              <w:bottom w:w="60" w:type="dxa"/>
              <w:left w:w="80" w:type="dxa"/>
              <w:right w:w="80" w:type="dxa"/>
            </w:tcMar>
            <w:vAlign w:val="center"/>
          </w:tcPr>
          <w:p>
            <w:pPr>
              <w:spacing w:line="276" w:lineRule="auto" w:after="0"/>
              <w:jc w:val="left"/>
            </w:pPr>
            <w:r>
              <w:rPr>
                <w:b/>
                <w:color w:val="2B6CB0"/>
                <w:sz w:val="16"/>
              </w:rPr>
              <w:t>rbl_docs/01_tong_quan.md</w:t>
              <w:br/>
              <w:t>rbl_docs/02_khung_danh_gia.md</w:t>
              <w:br/>
              <w:t>rbl_docs/03_huong_dan_slr.md</w:t>
              <w:br/>
              <w:t>rbl_docs/04_nghien_cuu_thuc_nghiem.md</w:t>
              <w:br/>
              <w:t>rbl_docs/05_huong_dan_viet.md</w:t>
              <w:br/>
              <w:t>rbl_docs/06_mau_tai_lieu.md</w:t>
            </w:r>
          </w:p>
        </w:tc>
        <w:tc>
          <w:tcPr>
            <w:tcW w:type="dxa" w:w="3120"/>
            <w:shd w:fill="FFFFFF"/>
            <w:tcMar>
              <w:top w:w="60" w:type="dxa"/>
              <w:bottom w:w="60" w:type="dxa"/>
              <w:left w:w="80" w:type="dxa"/>
              <w:right w:w="80" w:type="dxa"/>
            </w:tcMar>
            <w:vAlign w:val="center"/>
          </w:tcPr>
          <w:p>
            <w:pPr>
              <w:spacing w:line="276" w:lineRule="auto" w:after="0"/>
              <w:jc w:val="left"/>
            </w:pPr>
            <w:r>
              <w:rPr>
                <w:color w:val="2D3748"/>
                <w:sz w:val="17"/>
              </w:rPr>
              <w:t>Kim chỉ nam của hội đồng RBL: quy định mục tiêu 5 pha, thang điểm rubric, tiêu chuẩn PRISMA, thiết kế thí nghiệm, cấu trúc chuẩn từng section bài báo và mẫu khai báo AI.</w:t>
            </w:r>
          </w:p>
        </w:tc>
      </w:tr>
      <w:tr>
        <w:tc>
          <w:tcPr>
            <w:tcW w:type="dxa" w:w="3120"/>
            <w:shd w:fill="F7FAFC"/>
            <w:tcMar>
              <w:top w:w="60" w:type="dxa"/>
              <w:bottom w:w="60" w:type="dxa"/>
              <w:left w:w="80" w:type="dxa"/>
              <w:right w:w="80" w:type="dxa"/>
            </w:tcMar>
            <w:vAlign w:val="center"/>
          </w:tcPr>
          <w:p>
            <w:pPr>
              <w:spacing w:line="276" w:lineRule="auto" w:after="0"/>
              <w:jc w:val="center"/>
            </w:pPr>
            <w:r>
              <w:rPr>
                <w:b/>
                <w:color w:val="1A365D"/>
                <w:sz w:val="17"/>
              </w:rPr>
              <w:t>Tài liệu Cốt lõi của Đề tài</w:t>
              <w:br/>
              <w:t>(team-synthesis/)</w:t>
            </w:r>
          </w:p>
        </w:tc>
        <w:tc>
          <w:tcPr>
            <w:tcW w:type="dxa" w:w="3120"/>
            <w:shd w:fill="F7FAFC"/>
            <w:tcMar>
              <w:top w:w="60" w:type="dxa"/>
              <w:bottom w:w="60" w:type="dxa"/>
              <w:left w:w="80" w:type="dxa"/>
              <w:right w:w="80" w:type="dxa"/>
            </w:tcMar>
            <w:vAlign w:val="center"/>
          </w:tcPr>
          <w:p>
            <w:pPr>
              <w:spacing w:line="276" w:lineRule="auto" w:after="0"/>
              <w:jc w:val="left"/>
            </w:pPr>
            <w:r>
              <w:rPr>
                <w:b/>
                <w:color w:val="2B6CB0"/>
                <w:sz w:val="16"/>
              </w:rPr>
              <w:t>team-synthesis/proposal.md</w:t>
              <w:br/>
              <w:t>team-synthesis/proposal_amendment_v1.1.md</w:t>
              <w:br/>
              <w:t>team-synthesis/evidence-table-merged.md</w:t>
              <w:br/>
              <w:t>team-synthesis/gap-list.md</w:t>
            </w:r>
          </w:p>
        </w:tc>
        <w:tc>
          <w:tcPr>
            <w:tcW w:type="dxa" w:w="3120"/>
            <w:shd w:fill="F7FAFC"/>
            <w:tcMar>
              <w:top w:w="60" w:type="dxa"/>
              <w:bottom w:w="60" w:type="dxa"/>
              <w:left w:w="80" w:type="dxa"/>
              <w:right w:w="80" w:type="dxa"/>
            </w:tcMar>
            <w:vAlign w:val="center"/>
          </w:tcPr>
          <w:p>
            <w:pPr>
              <w:spacing w:line="276" w:lineRule="auto" w:after="0"/>
              <w:jc w:val="left"/>
            </w:pPr>
            <w:r>
              <w:rPr>
                <w:color w:val="2D3748"/>
                <w:sz w:val="17"/>
              </w:rPr>
              <w:t>Đề cương nghiên cứu gốc, bản cập nhật Hội đồng 5 AI giải quyết Alarm Fatigue, bảng tổng hợp trích dẫn 40 bài báo khoa học và danh sách các khoảng trống nghiên cứu đã được bảo vệ.</w:t>
            </w:r>
          </w:p>
        </w:tc>
      </w:tr>
      <w:tr>
        <w:tc>
          <w:tcPr>
            <w:tcW w:type="dxa" w:w="3120"/>
            <w:shd w:fill="FFFFFF"/>
            <w:tcMar>
              <w:top w:w="60" w:type="dxa"/>
              <w:bottom w:w="60" w:type="dxa"/>
              <w:left w:w="80" w:type="dxa"/>
              <w:right w:w="80" w:type="dxa"/>
            </w:tcMar>
            <w:vAlign w:val="center"/>
          </w:tcPr>
          <w:p>
            <w:pPr>
              <w:spacing w:line="276" w:lineRule="auto" w:after="0"/>
              <w:jc w:val="center"/>
            </w:pPr>
            <w:r>
              <w:rPr>
                <w:b/>
                <w:color w:val="1A365D"/>
                <w:sz w:val="17"/>
              </w:rPr>
              <w:t>Bằng chứng &amp; Luận điểm</w:t>
              <w:br/>
              <w:t>(paper/)</w:t>
            </w:r>
          </w:p>
        </w:tc>
        <w:tc>
          <w:tcPr>
            <w:tcW w:type="dxa" w:w="3120"/>
            <w:shd w:fill="FFFFFF"/>
            <w:tcMar>
              <w:top w:w="60" w:type="dxa"/>
              <w:bottom w:w="60" w:type="dxa"/>
              <w:left w:w="80" w:type="dxa"/>
              <w:right w:w="80" w:type="dxa"/>
            </w:tcMar>
            <w:vAlign w:val="center"/>
          </w:tcPr>
          <w:p>
            <w:pPr>
              <w:spacing w:line="276" w:lineRule="auto" w:after="0"/>
              <w:jc w:val="left"/>
            </w:pPr>
            <w:r>
              <w:rPr>
                <w:b/>
                <w:color w:val="2B6CB0"/>
                <w:sz w:val="16"/>
              </w:rPr>
              <w:t>paper/claims.md</w:t>
              <w:br/>
              <w:t>paper/WRITING_GUIDE_AND_ASSIGNMENT.md</w:t>
              <w:br/>
              <w:t>paper/quality/ai_check_log.md</w:t>
            </w:r>
          </w:p>
        </w:tc>
        <w:tc>
          <w:tcPr>
            <w:tcW w:type="dxa" w:w="3120"/>
            <w:shd w:fill="FFFFFF"/>
            <w:tcMar>
              <w:top w:w="60" w:type="dxa"/>
              <w:bottom w:w="60" w:type="dxa"/>
              <w:left w:w="80" w:type="dxa"/>
              <w:right w:w="80" w:type="dxa"/>
            </w:tcMar>
            <w:vAlign w:val="center"/>
          </w:tcPr>
          <w:p>
            <w:pPr>
              <w:spacing w:line="276" w:lineRule="auto" w:after="0"/>
              <w:jc w:val="left"/>
            </w:pPr>
            <w:r>
              <w:rPr>
                <w:color w:val="2D3748"/>
                <w:sz w:val="17"/>
              </w:rPr>
              <w:t>Bảng đối chiếu Claim -&gt; Evidence -&gt; Warrant cho 4 luận điểm khoa học, lộ trình 3 đợt viết chi tiết và log kiểm toán AI writing check.</w:t>
            </w:r>
          </w:p>
        </w:tc>
      </w:tr>
      <w:tr>
        <w:tc>
          <w:tcPr>
            <w:tcW w:type="dxa" w:w="3120"/>
            <w:shd w:fill="F7FAFC"/>
            <w:tcMar>
              <w:top w:w="60" w:type="dxa"/>
              <w:bottom w:w="60" w:type="dxa"/>
              <w:left w:w="80" w:type="dxa"/>
              <w:right w:w="80" w:type="dxa"/>
            </w:tcMar>
            <w:vAlign w:val="center"/>
          </w:tcPr>
          <w:p>
            <w:pPr>
              <w:spacing w:line="276" w:lineRule="auto" w:after="0"/>
              <w:jc w:val="center"/>
            </w:pPr>
            <w:r>
              <w:rPr>
                <w:b/>
                <w:color w:val="1A365D"/>
                <w:sz w:val="17"/>
              </w:rPr>
              <w:t>Nhật ký &amp; Dữ liệu Thực nghiệm</w:t>
              <w:br/>
              <w:t>(Repository Root)</w:t>
            </w:r>
          </w:p>
        </w:tc>
        <w:tc>
          <w:tcPr>
            <w:tcW w:type="dxa" w:w="3120"/>
            <w:shd w:fill="F7FAFC"/>
            <w:tcMar>
              <w:top w:w="60" w:type="dxa"/>
              <w:bottom w:w="60" w:type="dxa"/>
              <w:left w:w="80" w:type="dxa"/>
              <w:right w:w="80" w:type="dxa"/>
            </w:tcMar>
            <w:vAlign w:val="center"/>
          </w:tcPr>
          <w:p>
            <w:pPr>
              <w:spacing w:line="276" w:lineRule="auto" w:after="0"/>
              <w:jc w:val="left"/>
            </w:pPr>
            <w:r>
              <w:rPr>
                <w:b/>
                <w:color w:val="2B6CB0"/>
                <w:sz w:val="16"/>
              </w:rPr>
              <w:t>notes.md</w:t>
              <w:br/>
              <w:t>data/raw/README.md</w:t>
              <w:br/>
              <w:t>results/summary.csv</w:t>
              <w:br/>
              <w:t>results/mcnemar_analysis.csv</w:t>
            </w:r>
          </w:p>
        </w:tc>
        <w:tc>
          <w:tcPr>
            <w:tcW w:type="dxa" w:w="3120"/>
            <w:shd w:fill="F7FAFC"/>
            <w:tcMar>
              <w:top w:w="60" w:type="dxa"/>
              <w:bottom w:w="60" w:type="dxa"/>
              <w:left w:w="80" w:type="dxa"/>
              <w:right w:w="80" w:type="dxa"/>
            </w:tcMar>
            <w:vAlign w:val="center"/>
          </w:tcPr>
          <w:p>
            <w:pPr>
              <w:spacing w:line="276" w:lineRule="auto" w:after="0"/>
              <w:jc w:val="left"/>
            </w:pPr>
            <w:r>
              <w:rPr>
                <w:color w:val="2D3748"/>
                <w:sz w:val="17"/>
              </w:rPr>
              <w:t>Nhật ký thí nghiệm ghi lại các thảo luận học thuật, giải thích chi tiết nguồn dữ liệu SMS, số liệu chi tiết 5 runs và kết quả kiểm định giả thuyết thống kê.</w:t>
            </w:r>
          </w:p>
        </w:tc>
      </w:tr>
    </w:tbl>
    <w:p>
      <w:pPr>
        <w:spacing w:after="120"/>
      </w:pPr>
    </w:p>
    <w:p>
      <w:pPr>
        <w:keepNext/>
        <w:spacing w:before="240" w:after="80"/>
      </w:pPr>
      <w:r>
        <w:rPr>
          <w:rFonts w:ascii="Arial" w:hAnsi="Arial"/>
          <w:b/>
          <w:color w:val="2B6CB0"/>
          <w:sz w:val="24"/>
        </w:rPr>
        <w:t>4.1. Prompt Mẫu Chuẩn Quốc Tế khi ra lệnh cho AI Agent viết/sửa bài</w:t>
      </w:r>
    </w:p>
    <w:p>
      <w:r>
        <w:t>Để AI Agent không bịa số và tuân thủ tuyệt đối quy định học thuật, bạn hãy sao chép mẫu chỉ thị (Prompt) dưới đây khi làm việc với AI:</w:t>
      </w:r>
    </w:p>
    <w:tbl>
      <w:tblPr>
        <w:tblW w:type="auto" w:w="0"/>
        <w:jc w:val="center"/>
        <w:tblLook w:firstColumn="1" w:firstRow="1" w:lastColumn="0" w:lastRow="0" w:noHBand="0" w:noVBand="1" w:val="04A0"/>
        <w:tblBorders>
          <w:top w:val="single" w:sz="8" w:space="0" w:color="CBD5E0"/>
          <w:bottom w:val="single" w:sz="8" w:space="0" w:color="CBD5E0"/>
          <w:insideH w:val="single" w:sz="8" w:space="0" w:color="CBD5E0"/>
          <w:insideV w:val="none"/>
          <w:left w:val="none"/>
          <w:right w:val="none"/>
        </w:tblBorders>
      </w:tblPr>
      <w:tblGrid>
        <w:gridCol w:w="9360"/>
      </w:tblGrid>
      <w:tr>
        <w:tc>
          <w:tcPr>
            <w:tcW w:type="dxa" w:w="9360"/>
            <w:shd w:fill="F8FAFC"/>
            <w:tcMar>
              <w:top w:w="120" w:type="dxa"/>
              <w:bottom w:w="120" w:type="dxa"/>
              <w:left w:w="150" w:type="dxa"/>
              <w:right w:w="150" w:type="dxa"/>
            </w:tcMar>
          </w:tcPr>
          <w:p>
            <w:pPr>
              <w:spacing w:line="276" w:lineRule="auto" w:after="0"/>
            </w:pPr>
            <w:r>
              <w:rPr>
                <w:rFonts w:ascii="Courier New" w:hAnsi="Courier New"/>
                <w:color w:val="2D3748"/>
                <w:sz w:val="17"/>
              </w:rPr>
              <w:t>BẠN LÀ CHUYÊN GIA HỖ TRỢ VIẾT BÀI BÁO KHOA HỌC IEEE TRANSACTIONS CHO DỰ ÁN SCAMSHIELD-VN.</w:t>
              <w:br/>
              <w:br/>
              <w:t>1. NHIỆM VỤ: Hãy hỗ trợ tôi rà soát và trau chuốt nội dung file [ĐIỀN TÊN FILE, VD: paper/sections/03_method.tex].</w:t>
              <w:br/>
              <w:t>2. NGUYÊN TẮC BẮT BUỘC (ZERO HALLUCINATION):</w:t>
              <w:br/>
              <w:t xml:space="preserve">   - Bạn PHẢI đọc kỹ các file tham chiếu: rbl_docs/05_huong_dan_viet.md, paper/claims.md, results/summary.csv, và data/raw/README.md.</w:t>
              <w:br/>
              <w:t xml:space="preserve">   - Tuyệt đối KHÔNG ĐƯỢC TỰ BỊA ĐẶT bất kỳ con số nào. Mọi số liệu bắt buộc phải lấy chính xác từ results/summary.csv (Recall 95.62%, F1 92.51%, N=267 Frozen Test, alpha=5.0).</w:t>
              <w:br/>
              <w:t xml:space="preserve">   - Tuyệt đối KHÔNG chèn tên riêng cá nhân vào bài viết. Chỉ xưng hô theo danh xưng khoa học hoặc ngôi thứ nhất số nhiều trang trọng ('We').</w:t>
              <w:br/>
              <w:t>3. PHONG CÁCH: Văn phong học thuật tiếng Anh trang trọng, chuẩn IEEE, thì Quá khứ cho thí nghiệm đã làm, thì Hiện tại cho bảng biểu.</w:t>
              <w:br/>
              <w:t>4. KẾT QUẢ ĐẦU RA: Giữ nguyên các tag LaTeX, chỉ chỉnh sửa câu chữ tiếng Anh cho mượt mà, lưu ý xóa bỏ các khối hướng dẫn comment khi đã hoàn thành.</w:t>
            </w:r>
          </w:p>
        </w:tc>
      </w:tr>
    </w:tbl>
    <w:p>
      <w:pPr>
        <w:spacing w:after="120"/>
      </w:pPr>
    </w:p>
    <w:p>
      <w:pPr>
        <w:keepNext/>
        <w:spacing w:before="320" w:after="120"/>
      </w:pPr>
      <w:r>
        <w:rPr>
          <w:rFonts w:ascii="Arial" w:hAnsi="Arial"/>
          <w:b/>
          <w:color w:val="1A365D"/>
          <w:sz w:val="28"/>
        </w:rPr>
        <w:t>PHẦN 5: CHECKLIST HOÀN THÀNH TỪNG PHẦN DÀNH CHO THÀNH VIÊN</w:t>
      </w:r>
    </w:p>
    <w:p>
      <w:r>
        <w:t>Mỗi thành viên khi đảm nhận bất kỳ Section nào cần tuân thủ bảng kiểm soát chất lượng 3 giai đoạn sau đây:</w:t>
      </w:r>
    </w:p>
    <w:p>
      <w:pPr>
        <w:pStyle w:val="ListBullet"/>
        <w:spacing w:before="40" w:after="60" w:line="276" w:lineRule="auto"/>
      </w:pPr>
      <w:r>
        <w:rPr>
          <w:b/>
          <w:color w:val="1A365D"/>
        </w:rPr>
        <w:t xml:space="preserve">Giai đoạn 1 (Chuẩn bị): </w:t>
      </w:r>
      <w:r>
        <w:t>Kiểm tra mã task Jira của mình. Mở file .tex tương ứng trên Overleaf và mở file số liệu gốc tương ứng trong repo.</w:t>
      </w:r>
    </w:p>
    <w:p>
      <w:pPr>
        <w:pStyle w:val="ListBullet"/>
        <w:spacing w:before="40" w:after="60" w:line="276" w:lineRule="auto"/>
      </w:pPr>
      <w:r>
        <w:rPr>
          <w:b/>
          <w:color w:val="1A365D"/>
        </w:rPr>
        <w:t xml:space="preserve">Giai đoạn 2 (Thực hiện): </w:t>
      </w:r>
      <w:r>
        <w:t>Rà soát từng câu văn tiếng Anh. Kiểm tra từng biến số toán học. Đối soát từng con số phần trăm và độ lệch chuẩn với SSOT (Phần 2).</w:t>
      </w:r>
    </w:p>
    <w:p>
      <w:pPr>
        <w:pStyle w:val="ListBullet"/>
        <w:spacing w:before="40" w:after="60" w:line="276" w:lineRule="auto"/>
      </w:pPr>
      <w:r>
        <w:rPr>
          <w:b/>
          <w:color w:val="1A365D"/>
        </w:rPr>
        <w:t xml:space="preserve">Giai đoạn 3 (Bàn giao &amp; Nghiệm thu): </w:t>
      </w:r>
      <w:r>
        <w:t>Thực hiện đầy đủ 4 hành động trước khi đóng task:</w:t>
      </w:r>
    </w:p>
    <w:p>
      <w:pPr>
        <w:pStyle w:val="ListBullet2"/>
        <w:spacing w:after="40"/>
      </w:pPr>
      <w:r>
        <w:rPr>
          <w:b/>
          <w:color w:val="1A365D"/>
        </w:rPr>
        <w:t>1. Xóa toàn bộ khối comment hướng dẫn '% [HƯỚNG DẪN DÀNH CHO...]' ở đầu mục của mình.</w:t>
      </w:r>
    </w:p>
    <w:p>
      <w:pPr>
        <w:pStyle w:val="ListBullet2"/>
        <w:spacing w:after="40"/>
      </w:pPr>
      <w:r>
        <w:rPr>
          <w:b/>
          <w:color w:val="1A365D"/>
        </w:rPr>
        <w:t>2. Xóa toàn bộ các thẻ '% [TODO: ...]' còn sót lại trong mục.</w:t>
      </w:r>
    </w:p>
    <w:p>
      <w:pPr>
        <w:pStyle w:val="ListBullet2"/>
        <w:spacing w:after="40"/>
      </w:pPr>
      <w:r>
        <w:rPr>
          <w:b/>
          <w:color w:val="1A365D"/>
        </w:rPr>
        <w:t>3. Bấm 'Recompile' trên Overleaf kiểm tra lỗi biên dịch (0 Errors, 0 Warnings nghiêm trọng).</w:t>
      </w:r>
    </w:p>
    <w:p>
      <w:pPr>
        <w:pStyle w:val="ListBullet2"/>
        <w:spacing w:after="40"/>
      </w:pPr>
      <w:r>
        <w:rPr>
          <w:b/>
          <w:color w:val="1A365D"/>
        </w:rPr>
        <w:t>4. Tải file .tex đã sửa về hoặc commit lên Git, sau đó đánh dấu 'Done' trên Jira.</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left w:val="single" w:sz="24" w:space="0" w:color="1A365D"/>
              <w:top w:val="none"/>
              <w:right w:val="none"/>
              <w:bottom w:val="none"/>
            </w:tcBorders>
          </w:tcPr>
          <w:p>
            <w:pPr>
              <w:spacing w:before="40" w:after="40" w:line="276" w:lineRule="auto"/>
            </w:pPr>
            <w:r>
              <w:rPr>
                <w:rFonts w:ascii="Arial" w:hAnsi="Arial"/>
                <w:b/>
                <w:color w:val="1A365D"/>
                <w:sz w:val="20"/>
              </w:rPr>
              <w:t xml:space="preserve">[KẾT LUẬN] </w:t>
            </w:r>
            <w:r>
              <w:rPr>
                <w:rFonts w:ascii="Arial" w:hAnsi="Arial"/>
                <w:color w:val="2D3748"/>
                <w:sz w:val="19"/>
              </w:rPr>
              <w:t>Tuân thủ nghiêm ngặt quy trình trên sẽ đảm bảo bài báo của nhóm đạt chất lượng công bố quốc tế, bảo vệ thành công trước Hội đồng RBL với điểm số tối đa!</w:t>
            </w:r>
          </w:p>
        </w:tc>
      </w:tr>
    </w:tbl>
    <w:p>
      <w:pPr>
        <w:spacing w:before="0"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00"/>
    </w:pPr>
    <w:rPr>
      <w:rFonts w:ascii="Arial" w:hAnsi="Arial"/>
      <w:color w:val="2D374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