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003366"/>
          <w:sz w:val="19"/>
        </w:rPr>
        <w:t>FPT UNIVERSITY — RESEARCH-BASED LEARNING (RBL-FA26SE079)</w:t>
        <w:br/>
        <w:t>SCAMSHIELD-VN MANUSCRIPT QUALITY ASSURANCE (JAIT STANDARD)</w:t>
      </w:r>
    </w:p>
    <w:p>
      <w:pPr>
        <w:spacing w:before="80" w:after="240"/>
        <w:jc w:val="center"/>
      </w:pPr>
      <w:r>
        <w:rPr>
          <w:rFonts w:ascii="Times New Roman" w:hAnsi="Times New Roman"/>
          <w:b/>
          <w:i w:val="0"/>
          <w:color w:val="1F4E79"/>
          <w:sz w:val="28"/>
        </w:rPr>
        <w:t>JIRA TASK SPECIFICATION &amp; REVIEW GUIDE</w:t>
        <w:br/>
        <w:t>SCAM-102: Kiểm duyệt &amp; Chuẩn hóa Phần II. LITERATURE REVIEW (Tiến trình 4 Chủ Đề &amp; Table 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before="40"/>
            </w:pPr>
            <w:r>
              <w:rPr>
                <w:rFonts w:ascii="Times New Roman" w:hAnsi="Times New Roman"/>
                <w:b/>
                <w:i w:val="0"/>
                <w:sz w:val="18"/>
              </w:rPr>
              <w:t>Issue Key:</w:t>
            </w:r>
          </w:p>
        </w:tc>
        <w:tc>
          <w:tcPr>
            <w:tcW w:type="dxa" w:w="2484"/>
          </w:tcPr>
          <w:p>
            <w:pPr>
              <w:spacing w:after="40" w:before="40"/>
            </w:pPr>
            <w:r>
              <w:rPr>
                <w:rFonts w:ascii="Times New Roman" w:hAnsi="Times New Roman"/>
                <w:b w:val="0"/>
                <w:i w:val="0"/>
                <w:sz w:val="18"/>
              </w:rPr>
              <w:t>SCAM-102</w:t>
            </w:r>
          </w:p>
        </w:tc>
        <w:tc>
          <w:tcPr>
            <w:tcW w:type="dxa" w:w="2484"/>
          </w:tcPr>
          <w:p>
            <w:pPr>
              <w:spacing w:after="40" w:before="40"/>
            </w:pPr>
            <w:r>
              <w:rPr>
                <w:rFonts w:ascii="Times New Roman" w:hAnsi="Times New Roman"/>
                <w:b/>
                <w:i w:val="0"/>
                <w:sz w:val="18"/>
              </w:rPr>
              <w:t>Issue Type:</w:t>
            </w:r>
          </w:p>
        </w:tc>
        <w:tc>
          <w:tcPr>
            <w:tcW w:type="dxa" w:w="2484"/>
          </w:tcPr>
          <w:p>
            <w:pPr>
              <w:spacing w:after="40" w:before="40"/>
            </w:pPr>
            <w:r>
              <w:rPr>
                <w:rFonts w:ascii="Times New Roman" w:hAnsi="Times New Roman"/>
                <w:b w:val="0"/>
                <w:i w:val="0"/>
                <w:sz w:val="18"/>
              </w:rPr>
              <w:t>Sub-task / Review Task</w:t>
            </w:r>
          </w:p>
        </w:tc>
      </w:tr>
      <w:tr>
        <w:tc>
          <w:tcPr>
            <w:tcW w:type="dxa" w:w="2484"/>
          </w:tcPr>
          <w:p>
            <w:pPr>
              <w:spacing w:after="40" w:before="40"/>
            </w:pPr>
            <w:r>
              <w:rPr>
                <w:rFonts w:ascii="Times New Roman" w:hAnsi="Times New Roman"/>
                <w:b/>
                <w:i w:val="0"/>
                <w:sz w:val="18"/>
              </w:rPr>
              <w:t>Assignee:</w:t>
            </w:r>
          </w:p>
        </w:tc>
        <w:tc>
          <w:tcPr>
            <w:tcW w:type="dxa" w:w="2484"/>
          </w:tcPr>
          <w:p>
            <w:pPr>
              <w:spacing w:after="40" w:before="40"/>
            </w:pPr>
            <w:r>
              <w:rPr>
                <w:rFonts w:ascii="Times New Roman" w:hAnsi="Times New Roman"/>
                <w:b w:val="0"/>
                <w:i w:val="0"/>
                <w:sz w:val="18"/>
              </w:rPr>
              <w:t>Nguyễn Trung Hiếu (cristand2825 / PL)</w:t>
            </w:r>
          </w:p>
        </w:tc>
        <w:tc>
          <w:tcPr>
            <w:tcW w:type="dxa" w:w="2484"/>
          </w:tcPr>
          <w:p>
            <w:pPr>
              <w:spacing w:after="40" w:before="40"/>
            </w:pPr>
            <w:r>
              <w:rPr>
                <w:rFonts w:ascii="Times New Roman" w:hAnsi="Times New Roman"/>
                <w:b/>
                <w:i w:val="0"/>
                <w:sz w:val="18"/>
              </w:rPr>
              <w:t>Priority:</w:t>
            </w:r>
          </w:p>
        </w:tc>
        <w:tc>
          <w:tcPr>
            <w:tcW w:type="dxa" w:w="2484"/>
          </w:tcPr>
          <w:p>
            <w:pPr>
              <w:spacing w:after="40" w:before="40"/>
            </w:pPr>
            <w:r>
              <w:rPr>
                <w:rFonts w:ascii="Times New Roman" w:hAnsi="Times New Roman"/>
                <w:b w:val="0"/>
                <w:i w:val="0"/>
                <w:sz w:val="18"/>
              </w:rPr>
              <w:t>High / Blocker</w:t>
            </w:r>
          </w:p>
        </w:tc>
      </w:tr>
      <w:tr>
        <w:tc>
          <w:tcPr>
            <w:tcW w:type="dxa" w:w="2484"/>
          </w:tcPr>
          <w:p>
            <w:pPr>
              <w:spacing w:after="40" w:before="40"/>
            </w:pPr>
            <w:r>
              <w:rPr>
                <w:rFonts w:ascii="Times New Roman" w:hAnsi="Times New Roman"/>
                <w:b/>
                <w:i w:val="0"/>
                <w:sz w:val="18"/>
              </w:rPr>
              <w:t>Section Scope:</w:t>
            </w:r>
          </w:p>
        </w:tc>
        <w:tc>
          <w:tcPr>
            <w:tcW w:type="dxa" w:w="2484"/>
          </w:tcPr>
          <w:p>
            <w:pPr>
              <w:spacing w:after="40" w:before="40"/>
            </w:pPr>
            <w:r>
              <w:rPr>
                <w:rFonts w:ascii="Times New Roman" w:hAnsi="Times New Roman"/>
                <w:b w:val="0"/>
                <w:i w:val="0"/>
                <w:sz w:val="18"/>
              </w:rPr>
              <w:t>II. LITERATURE REVIEW</w:t>
            </w:r>
          </w:p>
        </w:tc>
        <w:tc>
          <w:tcPr>
            <w:tcW w:type="dxa" w:w="2484"/>
          </w:tcPr>
          <w:p>
            <w:pPr>
              <w:spacing w:after="40" w:before="40"/>
            </w:pPr>
            <w:r>
              <w:rPr>
                <w:rFonts w:ascii="Times New Roman" w:hAnsi="Times New Roman"/>
                <w:b/>
                <w:i w:val="0"/>
                <w:sz w:val="18"/>
              </w:rPr>
              <w:t>Story Points:</w:t>
            </w:r>
          </w:p>
        </w:tc>
        <w:tc>
          <w:tcPr>
            <w:tcW w:type="dxa" w:w="2484"/>
          </w:tcPr>
          <w:p>
            <w:pPr>
              <w:spacing w:after="40" w:before="40"/>
            </w:pPr>
            <w:r>
              <w:rPr>
                <w:rFonts w:ascii="Times New Roman" w:hAnsi="Times New Roman"/>
                <w:b w:val="0"/>
                <w:i w:val="0"/>
                <w:sz w:val="18"/>
              </w:rPr>
              <w:t>5</w:t>
            </w:r>
          </w:p>
        </w:tc>
      </w:tr>
      <w:tr>
        <w:tc>
          <w:tcPr>
            <w:tcW w:type="dxa" w:w="2484"/>
          </w:tcPr>
          <w:p>
            <w:pPr>
              <w:spacing w:after="40" w:before="40"/>
            </w:pPr>
            <w:r>
              <w:rPr>
                <w:rFonts w:ascii="Times New Roman" w:hAnsi="Times New Roman"/>
                <w:b/>
                <w:i w:val="0"/>
                <w:sz w:val="18"/>
              </w:rPr>
              <w:t>Target Venue:</w:t>
            </w:r>
          </w:p>
        </w:tc>
        <w:tc>
          <w:tcPr>
            <w:tcW w:type="dxa" w:w="2484"/>
          </w:tcPr>
          <w:p>
            <w:pPr>
              <w:spacing w:after="40" w:before="40"/>
            </w:pPr>
            <w:r>
              <w:rPr>
                <w:rFonts w:ascii="Times New Roman" w:hAnsi="Times New Roman"/>
                <w:b w:val="0"/>
                <w:i w:val="0"/>
                <w:sz w:val="18"/>
              </w:rPr>
              <w:t>JAIT (Journal)</w:t>
            </w:r>
          </w:p>
        </w:tc>
        <w:tc>
          <w:tcPr>
            <w:tcW w:type="dxa" w:w="2484"/>
          </w:tcPr>
          <w:p>
            <w:pPr>
              <w:spacing w:after="40" w:before="40"/>
            </w:pPr>
            <w:r>
              <w:rPr>
                <w:rFonts w:ascii="Times New Roman" w:hAnsi="Times New Roman"/>
                <w:b/>
                <w:i w:val="0"/>
                <w:sz w:val="18"/>
              </w:rPr>
              <w:t>Sprint:</w:t>
            </w:r>
          </w:p>
        </w:tc>
        <w:tc>
          <w:tcPr>
            <w:tcW w:type="dxa" w:w="2484"/>
          </w:tcPr>
          <w:p>
            <w:pPr>
              <w:spacing w:after="40" w:before="40"/>
            </w:pPr>
            <w:r>
              <w:rPr>
                <w:rFonts w:ascii="Times New Roman" w:hAnsi="Times New Roman"/>
                <w:b w:val="0"/>
                <w:i w:val="0"/>
                <w:sz w:val="18"/>
              </w:rPr>
              <w:t>Sprint 4 - Paper Polish</w:t>
            </w:r>
          </w:p>
        </w:tc>
      </w:tr>
      <w:tr>
        <w:tc>
          <w:tcPr>
            <w:tcW w:type="dxa" w:w="2484"/>
          </w:tcPr>
          <w:p>
            <w:pPr>
              <w:spacing w:after="40" w:before="40"/>
            </w:pPr>
            <w:r>
              <w:rPr>
                <w:rFonts w:ascii="Times New Roman" w:hAnsi="Times New Roman"/>
                <w:b/>
                <w:i w:val="0"/>
                <w:sz w:val="18"/>
              </w:rPr>
              <w:t>File LaTeX:</w:t>
            </w:r>
          </w:p>
        </w:tc>
        <w:tc>
          <w:tcPr>
            <w:tcW w:type="dxa" w:w="2484"/>
          </w:tcPr>
          <w:p>
            <w:pPr>
              <w:spacing w:after="40" w:before="40"/>
            </w:pPr>
            <w:r>
              <w:rPr>
                <w:rFonts w:ascii="Times New Roman" w:hAnsi="Times New Roman"/>
                <w:b w:val="0"/>
                <w:i w:val="0"/>
                <w:sz w:val="18"/>
              </w:rPr>
              <w:t>paper/sections/02_related.tex &amp; main.tex</w:t>
            </w:r>
          </w:p>
        </w:tc>
        <w:tc>
          <w:tcPr>
            <w:tcW w:type="dxa" w:w="2484"/>
          </w:tcPr>
          <w:p>
            <w:pPr>
              <w:spacing w:after="40" w:before="40"/>
            </w:pPr>
            <w:r>
              <w:rPr>
                <w:rFonts w:ascii="Times New Roman" w:hAnsi="Times New Roman"/>
                <w:b/>
                <w:i w:val="0"/>
                <w:sz w:val="18"/>
              </w:rPr>
              <w:t>Status:</w:t>
            </w:r>
          </w:p>
        </w:tc>
        <w:tc>
          <w:tcPr>
            <w:tcW w:type="dxa" w:w="2484"/>
          </w:tcPr>
          <w:p>
            <w:pPr>
              <w:spacing w:after="40" w:before="40"/>
            </w:pPr>
            <w:r>
              <w:rPr>
                <w:rFonts w:ascii="Times New Roman" w:hAnsi="Times New Roman"/>
                <w:b w:val="0"/>
                <w:i w:val="0"/>
                <w:sz w:val="18"/>
              </w:rPr>
              <w:t>TO DO (In Progress)</w:t>
            </w:r>
          </w:p>
        </w:tc>
      </w:tr>
    </w:tbl>
    <w:p>
      <w:pPr>
        <w:spacing w:before="280" w:after="80"/>
      </w:pPr>
      <w:r>
        <w:rPr>
          <w:rFonts w:ascii="Times New Roman" w:hAnsi="Times New Roman"/>
          <w:b/>
          <w:i w:val="0"/>
          <w:color w:val="003366"/>
          <w:sz w:val="22"/>
        </w:rPr>
        <w:t>1. MỤC TIÊU VÀ PHẠM VI KIỂM DUYỆT (OBJECTIVES &amp; SCOPE)</w:t>
      </w:r>
    </w:p>
    <w:p>
      <w:pPr>
        <w:pStyle w:val="ListBullet"/>
        <w:spacing w:after="40"/>
      </w:pPr>
      <w:r>
        <w:rPr>
          <w:rFonts w:ascii="Times New Roman" w:hAnsi="Times New Roman"/>
          <w:b w:val="0"/>
          <w:i w:val="0"/>
          <w:sz w:val="19"/>
        </w:rPr>
        <w:t>Đảm bảo phần tổng quan y văn được trình bày đúng chuẩn JAIT: Vừa theo chủ đề (thematically) vừa theo tiến trình thời gian (chronologically).</w:t>
      </w:r>
    </w:p>
    <w:p>
      <w:pPr>
        <w:pStyle w:val="ListBullet"/>
        <w:spacing w:after="40"/>
      </w:pPr>
      <w:r>
        <w:rPr>
          <w:rFonts w:ascii="Times New Roman" w:hAnsi="Times New Roman"/>
          <w:b w:val="0"/>
          <w:i w:val="0"/>
          <w:sz w:val="19"/>
        </w:rPr>
        <w:t>Rà soát 4 chủ đề: (1) Machine learning cổ điển, (2) Transformer tiếng Việt, (3) LLM và Edge SLM, (4) Đồng thuận Đa tác tử &amp; Lỗi tương quan.</w:t>
      </w:r>
    </w:p>
    <w:p>
      <w:pPr>
        <w:pStyle w:val="ListBullet"/>
        <w:spacing w:after="40"/>
      </w:pPr>
      <w:r>
        <w:rPr>
          <w:rFonts w:ascii="Times New Roman" w:hAnsi="Times New Roman"/>
          <w:b w:val="0"/>
          <w:i w:val="0"/>
          <w:sz w:val="19"/>
        </w:rPr>
        <w:t>ĐẶC BIỆT: Kiểm tra loại bỏ triệt để mọi từ ngữ liên quan đến 'Condorcet Jury Theorem' (bị Mentor nghiêm cấm), thay thế hoàn toàn bằng lý thuyết Khử lỗi tương quan (Correlated Error Mitigation) theo Kim et al. (ICML 2025) và Ladha (1992).</w:t>
      </w:r>
    </w:p>
    <w:p>
      <w:pPr>
        <w:pStyle w:val="ListBullet"/>
        <w:spacing w:after="40"/>
      </w:pPr>
      <w:r>
        <w:rPr>
          <w:rFonts w:ascii="Times New Roman" w:hAnsi="Times New Roman"/>
          <w:b w:val="0"/>
          <w:i w:val="0"/>
          <w:sz w:val="19"/>
        </w:rPr>
        <w:t>Đối soát bảng so sánh TABLE I giữa ScamShield-VN và 6 công trình đại diện.</w:t>
      </w:r>
    </w:p>
    <w:p>
      <w:pPr>
        <w:spacing w:before="240" w:after="80"/>
      </w:pPr>
      <w:r>
        <w:rPr>
          <w:rFonts w:ascii="Times New Roman" w:hAnsi="Times New Roman"/>
          <w:b/>
          <w:i w:val="0"/>
          <w:color w:val="003366"/>
          <w:sz w:val="22"/>
        </w:rPr>
        <w:t>2. CÁC SỐ LIỆU, CÔNG THỨC &amp; DẪN CHỨNG PHẢI ĐỐI SOÁT CHÍNH XÁC</w:t>
      </w:r>
    </w:p>
    <w:p>
      <w:pPr>
        <w:pStyle w:val="ListBullet"/>
        <w:spacing w:after="40"/>
      </w:pPr>
      <w:r>
        <w:rPr>
          <w:rFonts w:ascii="Times New Roman" w:hAnsi="Times New Roman"/>
          <w:b w:val="0"/>
          <w:i w:val="0"/>
          <w:sz w:val="19"/>
        </w:rPr>
        <w:t>TABLE I - Tuấn et al. (2023): PhoBERT, CNN, LSTM trên N~3,000 multi-accent SMS, Accuracy 95.56%.</w:t>
      </w:r>
    </w:p>
    <w:p>
      <w:pPr>
        <w:pStyle w:val="ListBullet"/>
        <w:spacing w:after="40"/>
      </w:pPr>
      <w:r>
        <w:rPr>
          <w:rFonts w:ascii="Times New Roman" w:hAnsi="Times New Roman"/>
          <w:b w:val="0"/>
          <w:i w:val="0"/>
          <w:sz w:val="19"/>
        </w:rPr>
        <w:t>TABLE I - Nguyen-Xuan (2026): MLTEA Dual-Encoder trên code-mixed phishing, Macro-F1 0.940.</w:t>
      </w:r>
    </w:p>
    <w:p>
      <w:pPr>
        <w:pStyle w:val="ListBullet"/>
        <w:spacing w:after="40"/>
      </w:pPr>
      <w:r>
        <w:rPr>
          <w:rFonts w:ascii="Times New Roman" w:hAnsi="Times New Roman"/>
          <w:b w:val="0"/>
          <w:i w:val="0"/>
          <w:sz w:val="19"/>
        </w:rPr>
        <w:t>TABLE I - Cam &amp; Binh (2026): PhoBERT, BiLSTM trên email VNSED, Accuracy 86.47%.</w:t>
      </w:r>
    </w:p>
    <w:p>
      <w:pPr>
        <w:pStyle w:val="ListBullet"/>
        <w:spacing w:after="40"/>
      </w:pPr>
      <w:r>
        <w:rPr>
          <w:rFonts w:ascii="Times New Roman" w:hAnsi="Times New Roman"/>
          <w:b w:val="0"/>
          <w:i w:val="0"/>
          <w:sz w:val="19"/>
        </w:rPr>
        <w:t>TABLE I - Zhou et al. (2026): GPT-4o, Claude, Gemini trên FraudSMSWalker N~4,000, Recall 64.16 - 90.13%, Benign recall &lt; 30.25%.</w:t>
      </w:r>
    </w:p>
    <w:p>
      <w:pPr>
        <w:pStyle w:val="ListBullet"/>
        <w:spacing w:after="40"/>
      </w:pPr>
      <w:r>
        <w:rPr>
          <w:rFonts w:ascii="Times New Roman" w:hAnsi="Times New Roman"/>
          <w:b w:val="0"/>
          <w:i w:val="0"/>
          <w:sz w:val="19"/>
        </w:rPr>
        <w:t>TABLE I - Banda et al. (2026): Llama-3.2-3B Mobile trên N=4,200 QR lures, Latency 45 ms.</w:t>
      </w:r>
    </w:p>
    <w:p>
      <w:pPr>
        <w:pStyle w:val="ListBullet"/>
        <w:spacing w:after="40"/>
      </w:pPr>
      <w:r>
        <w:rPr>
          <w:rFonts w:ascii="Times New Roman" w:hAnsi="Times New Roman"/>
          <w:b w:val="0"/>
          <w:i w:val="0"/>
          <w:sz w:val="19"/>
        </w:rPr>
        <w:t>TABLE I - Phap et al. (2026): BiGRU + MaskedPool + WBCE trên UCI &amp; LSDST N=5,574, Latency 0.25 ms.</w:t>
      </w:r>
    </w:p>
    <w:p>
      <w:pPr>
        <w:pStyle w:val="ListBullet"/>
        <w:spacing w:after="40"/>
      </w:pPr>
      <w:r>
        <w:rPr>
          <w:rFonts w:ascii="Times New Roman" w:hAnsi="Times New Roman"/>
          <w:b w:val="0"/>
          <w:i w:val="0"/>
          <w:sz w:val="19"/>
        </w:rPr>
        <w:t>TABLE I - ScamShield-VN: Two-Tier ViSoBERT + 3-Agent Council, Recall 97.11%, FPR 2.37%, Latency 267.5 ms, Cost $0.05/1k SMS.</w:t>
      </w:r>
    </w:p>
    <w:p>
      <w:pPr>
        <w:spacing w:before="240" w:after="80"/>
      </w:pPr>
      <w:r>
        <w:rPr>
          <w:rFonts w:ascii="Times New Roman" w:hAnsi="Times New Roman"/>
          <w:b/>
          <w:i w:val="0"/>
          <w:color w:val="003366"/>
          <w:sz w:val="22"/>
        </w:rPr>
        <w:t>3. DANH SÁCH FILE NGUỒN CẦN ĐỐI CHIẾU TRONG REPOSITORY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before="40"/>
            </w:pPr>
            <w:r>
              <w:rPr>
                <w:rFonts w:ascii="Times New Roman" w:hAnsi="Times New Roman"/>
                <w:b/>
                <w:i w:val="0"/>
                <w:sz w:val="18"/>
              </w:rPr>
              <w:t>Đường Dẫn File Trong Repo</w:t>
            </w:r>
          </w:p>
        </w:tc>
        <w:tc>
          <w:tcPr>
            <w:tcW w:type="dxa" w:w="3312"/>
          </w:tcPr>
          <w:p>
            <w:pPr>
              <w:spacing w:after="40" w:before="40"/>
            </w:pPr>
            <w:r>
              <w:rPr>
                <w:rFonts w:ascii="Times New Roman" w:hAnsi="Times New Roman"/>
                <w:b/>
                <w:i w:val="0"/>
                <w:sz w:val="18"/>
              </w:rPr>
              <w:t>Nội Dung Đối Chiếu Cụ Thể</w:t>
            </w:r>
          </w:p>
        </w:tc>
        <w:tc>
          <w:tcPr>
            <w:tcW w:type="dxa" w:w="3312"/>
          </w:tcPr>
          <w:p>
            <w:pPr>
              <w:spacing w:after="40" w:before="40"/>
            </w:pPr>
            <w:r>
              <w:rPr>
                <w:rFonts w:ascii="Times New Roman" w:hAnsi="Times New Roman"/>
                <w:b/>
                <w:i w:val="0"/>
                <w:sz w:val="18"/>
              </w:rPr>
              <w:t>Mức Độ Quan Trọng</w:t>
            </w:r>
          </w:p>
        </w:tc>
      </w:tr>
      <w:tr>
        <w:tc>
          <w:tcPr>
            <w:tcW w:type="dxa" w:w="3312"/>
          </w:tcPr>
          <w:p>
            <w:pPr>
              <w:spacing w:after="40" w:before="40"/>
            </w:pPr>
            <w:r>
              <w:rPr>
                <w:rFonts w:ascii="Times New Roman" w:hAnsi="Times New Roman"/>
                <w:b w:val="0"/>
                <w:i w:val="0"/>
                <w:sz w:val="17"/>
              </w:rPr>
              <w:t>trung_hieu/SLR/evidence-table.md</w:t>
            </w:r>
          </w:p>
        </w:tc>
        <w:tc>
          <w:tcPr>
            <w:tcW w:type="dxa" w:w="3312"/>
          </w:tcPr>
          <w:p>
            <w:pPr>
              <w:spacing w:after="40" w:before="40"/>
            </w:pPr>
            <w:r>
              <w:rPr>
                <w:rFonts w:ascii="Times New Roman" w:hAnsi="Times New Roman"/>
                <w:b w:val="0"/>
                <w:i w:val="0"/>
                <w:sz w:val="17"/>
              </w:rPr>
              <w:t>Bảng trích xuất bằng chứng 7 trường dữ liệu chuẩn SLR</w:t>
            </w:r>
          </w:p>
        </w:tc>
        <w:tc>
          <w:tcPr>
            <w:tcW w:type="dxa" w:w="3312"/>
          </w:tcPr>
          <w:p>
            <w:pPr>
              <w:spacing w:after="40" w:before="40"/>
            </w:pPr>
            <w:r>
              <w:rPr>
                <w:rFonts w:ascii="Times New Roman" w:hAnsi="Times New Roman"/>
                <w:b/>
                <w:i w:val="0"/>
                <w:sz w:val="17"/>
              </w:rPr>
              <w:t>Bắt buộc</w:t>
            </w:r>
          </w:p>
        </w:tc>
      </w:tr>
      <w:tr>
        <w:tc>
          <w:tcPr>
            <w:tcW w:type="dxa" w:w="3312"/>
          </w:tcPr>
          <w:p>
            <w:pPr>
              <w:spacing w:after="40" w:before="40"/>
            </w:pPr>
            <w:r>
              <w:rPr>
                <w:rFonts w:ascii="Times New Roman" w:hAnsi="Times New Roman"/>
                <w:b w:val="0"/>
                <w:i w:val="0"/>
                <w:sz w:val="17"/>
              </w:rPr>
              <w:t>trung_hieu/SLR/gap-analysis.md</w:t>
            </w:r>
          </w:p>
        </w:tc>
        <w:tc>
          <w:tcPr>
            <w:tcW w:type="dxa" w:w="3312"/>
          </w:tcPr>
          <w:p>
            <w:pPr>
              <w:spacing w:after="40" w:before="40"/>
            </w:pPr>
            <w:r>
              <w:rPr>
                <w:rFonts w:ascii="Times New Roman" w:hAnsi="Times New Roman"/>
                <w:b w:val="0"/>
                <w:i w:val="0"/>
                <w:sz w:val="17"/>
              </w:rPr>
              <w:t>Phân tích khoảng trống nghiên cứu và ma trận phản chứng</w:t>
            </w:r>
          </w:p>
        </w:tc>
        <w:tc>
          <w:tcPr>
            <w:tcW w:type="dxa" w:w="3312"/>
          </w:tcPr>
          <w:p>
            <w:pPr>
              <w:spacing w:after="40" w:before="40"/>
            </w:pPr>
            <w:r>
              <w:rPr>
                <w:rFonts w:ascii="Times New Roman" w:hAnsi="Times New Roman"/>
                <w:b/>
                <w:i w:val="0"/>
                <w:sz w:val="17"/>
              </w:rPr>
              <w:t>Bắt buộc</w:t>
            </w:r>
          </w:p>
        </w:tc>
      </w:tr>
      <w:tr>
        <w:tc>
          <w:tcPr>
            <w:tcW w:type="dxa" w:w="3312"/>
          </w:tcPr>
          <w:p>
            <w:pPr>
              <w:spacing w:after="40" w:before="40"/>
            </w:pPr>
            <w:r>
              <w:rPr>
                <w:rFonts w:ascii="Times New Roman" w:hAnsi="Times New Roman"/>
                <w:b w:val="0"/>
                <w:i w:val="0"/>
                <w:sz w:val="17"/>
              </w:rPr>
              <w:t>paper/references.bib</w:t>
            </w:r>
          </w:p>
        </w:tc>
        <w:tc>
          <w:tcPr>
            <w:tcW w:type="dxa" w:w="3312"/>
          </w:tcPr>
          <w:p>
            <w:pPr>
              <w:spacing w:after="40" w:before="40"/>
            </w:pPr>
            <w:r>
              <w:rPr>
                <w:rFonts w:ascii="Times New Roman" w:hAnsi="Times New Roman"/>
                <w:b w:val="0"/>
                <w:i w:val="0"/>
                <w:sz w:val="17"/>
              </w:rPr>
              <w:t>Kiểm tra 25 citations bao gồm kim2025correlated, ladha1992condorcet, smit2024should</w:t>
            </w:r>
          </w:p>
        </w:tc>
        <w:tc>
          <w:tcPr>
            <w:tcW w:type="dxa" w:w="3312"/>
          </w:tcPr>
          <w:p>
            <w:pPr>
              <w:spacing w:after="40" w:before="40"/>
            </w:pPr>
            <w:r>
              <w:rPr>
                <w:rFonts w:ascii="Times New Roman" w:hAnsi="Times New Roman"/>
                <w:b/>
                <w:i w:val="0"/>
                <w:sz w:val="17"/>
              </w:rPr>
              <w:t>Bắt buộc</w:t>
            </w:r>
          </w:p>
        </w:tc>
      </w:tr>
      <w:tr>
        <w:tc>
          <w:tcPr>
            <w:tcW w:type="dxa" w:w="3312"/>
          </w:tcPr>
          <w:p>
            <w:pPr>
              <w:spacing w:after="40" w:before="40"/>
            </w:pPr>
            <w:r>
              <w:rPr>
                <w:rFonts w:ascii="Times New Roman" w:hAnsi="Times New Roman"/>
                <w:b w:val="0"/>
                <w:i w:val="0"/>
                <w:sz w:val="17"/>
              </w:rPr>
              <w:t>AUDIT_TIER2_MENTOR_CHECKLIST.md</w:t>
            </w:r>
          </w:p>
        </w:tc>
        <w:tc>
          <w:tcPr>
            <w:tcW w:type="dxa" w:w="3312"/>
          </w:tcPr>
          <w:p>
            <w:pPr>
              <w:spacing w:after="40" w:before="40"/>
            </w:pPr>
            <w:r>
              <w:rPr>
                <w:rFonts w:ascii="Times New Roman" w:hAnsi="Times New Roman"/>
                <w:b w:val="0"/>
                <w:i w:val="0"/>
                <w:sz w:val="17"/>
              </w:rPr>
              <w:t>Rà soát mục 1.1 loại bỏ hoàn toàn Condorcet Jury Theorem</w:t>
            </w:r>
          </w:p>
        </w:tc>
        <w:tc>
          <w:tcPr>
            <w:tcW w:type="dxa" w:w="3312"/>
          </w:tcPr>
          <w:p>
            <w:pPr>
              <w:spacing w:after="40" w:before="40"/>
            </w:pPr>
            <w:r>
              <w:rPr>
                <w:rFonts w:ascii="Times New Roman" w:hAnsi="Times New Roman"/>
                <w:b/>
                <w:i w:val="0"/>
                <w:sz w:val="17"/>
              </w:rPr>
              <w:t>Bắt buộc</w:t>
            </w:r>
          </w:p>
        </w:tc>
      </w:tr>
    </w:tbl>
    <w:p>
      <w:pPr>
        <w:spacing w:before="240" w:after="80"/>
      </w:pPr>
      <w:r>
        <w:rPr>
          <w:rFonts w:ascii="Times New Roman" w:hAnsi="Times New Roman"/>
          <w:b/>
          <w:i w:val="0"/>
          <w:color w:val="003366"/>
          <w:sz w:val="22"/>
        </w:rPr>
        <w:t>4. QUY CHUẨN ĐỊNH DẠNG JAIT BẮT BUỘC (JAIT COMPLIANCE)</w:t>
      </w:r>
    </w:p>
    <w:p>
      <w:pPr>
        <w:pStyle w:val="ListBullet"/>
        <w:spacing w:after="40"/>
      </w:pPr>
      <w:r>
        <w:rPr>
          <w:rFonts w:ascii="Times New Roman" w:hAnsi="Times New Roman"/>
          <w:b w:val="0"/>
          <w:i w:val="0"/>
          <w:sz w:val="19"/>
        </w:rPr>
        <w:t>Tiêu đề bảng TABLE I đặt ở PHÍA TRÊN bảng, căn giữa: TABLE I. COMPARATIVE OVERVIEW...</w:t>
      </w:r>
    </w:p>
    <w:p>
      <w:pPr>
        <w:pStyle w:val="ListBullet"/>
        <w:spacing w:after="40"/>
      </w:pPr>
      <w:r>
        <w:rPr>
          <w:rFonts w:ascii="Times New Roman" w:hAnsi="Times New Roman"/>
          <w:b w:val="0"/>
          <w:i w:val="0"/>
          <w:sz w:val="19"/>
        </w:rPr>
        <w:t>Không dùng 'et al.' trong tiêu đề cột hoặc văn bản nếu chưa nêu rõ ngữ cảnh; viết đúng chính tả tên tác giả Việt (Tuấn, Cam, Binh, Nguyen-Xuan).</w:t>
      </w:r>
    </w:p>
    <w:p>
      <w:pPr>
        <w:pStyle w:val="ListBullet"/>
        <w:spacing w:after="40"/>
      </w:pPr>
      <w:r>
        <w:rPr>
          <w:rFonts w:ascii="Times New Roman" w:hAnsi="Times New Roman"/>
          <w:b w:val="0"/>
          <w:i w:val="0"/>
          <w:sz w:val="19"/>
        </w:rPr>
        <w:t>Chủ đề 4 phải đóng vai trò làm bàn đạp lý thuyết dẫn dắt trực tiếp vào phương pháp luận Hội đồng Tier 2 ở Section III.</w:t>
      </w:r>
    </w:p>
    <w:p>
      <w:pPr>
        <w:spacing w:before="240" w:after="80"/>
      </w:pPr>
      <w:r>
        <w:rPr>
          <w:rFonts w:ascii="Times New Roman" w:hAnsi="Times New Roman"/>
          <w:b/>
          <w:i w:val="0"/>
          <w:color w:val="003366"/>
          <w:sz w:val="22"/>
        </w:rPr>
        <w:t>5. CHECKLIST NGHIỆM THU (DEFINITION OF DONE - DoD)</w:t>
      </w:r>
    </w:p>
    <w:p>
      <w:pPr>
        <w:spacing w:after="40"/>
        <w:ind w:left="288"/>
      </w:pPr>
      <w:r>
        <w:rPr>
          <w:rFonts w:ascii="Times New Roman" w:hAnsi="Times New Roman"/>
          <w:b w:val="0"/>
          <w:i w:val="0"/>
          <w:sz w:val="19"/>
        </w:rPr>
        <w:t>[ ]  Đã rà soát không còn chữ nào nhắc đến 'Condorcet' trong toàn bộ văn bản.</w:t>
      </w:r>
    </w:p>
    <w:p>
      <w:pPr>
        <w:spacing w:after="40"/>
        <w:ind w:left="288"/>
      </w:pPr>
      <w:r>
        <w:rPr>
          <w:rFonts w:ascii="Times New Roman" w:hAnsi="Times New Roman"/>
          <w:b w:val="0"/>
          <w:i w:val="0"/>
          <w:sz w:val="19"/>
        </w:rPr>
        <w:t>[ ]  7 dòng trong TABLE I khớp chính xác từng số phần trăm và độ trễ với evidence-table.md.</w:t>
      </w:r>
    </w:p>
    <w:p>
      <w:pPr>
        <w:spacing w:after="40"/>
        <w:ind w:left="288"/>
      </w:pPr>
      <w:r>
        <w:rPr>
          <w:rFonts w:ascii="Times New Roman" w:hAnsi="Times New Roman"/>
          <w:b w:val="0"/>
          <w:i w:val="0"/>
          <w:sz w:val="19"/>
        </w:rPr>
        <w:t>[ ]  Các trích dẫn Kim et al. (2025), Ladha (1992), Smit et al. (2024) được diễn giải chính xác về mặt toán học lỗi tương quan.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