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i w:val="0"/>
          <w:color w:val="003366"/>
          <w:sz w:val="19"/>
        </w:rPr>
        <w:t>FPT UNIVERSITY — RESEARCH-BASED LEARNING (RBL-FA26SE079)</w:t>
        <w:br/>
        <w:t>SCAMSHIELD-VN MANUSCRIPT QUALITY ASSURANCE (JAIT STANDARD)</w:t>
      </w:r>
    </w:p>
    <w:p>
      <w:pPr>
        <w:spacing w:before="80" w:after="240"/>
        <w:jc w:val="center"/>
      </w:pPr>
      <w:r>
        <w:rPr>
          <w:rFonts w:ascii="Times New Roman" w:hAnsi="Times New Roman"/>
          <w:b/>
          <w:i w:val="0"/>
          <w:color w:val="1F4E79"/>
          <w:sz w:val="28"/>
        </w:rPr>
        <w:t>JIRA TASK SPECIFICATION &amp; REVIEW GUIDE</w:t>
        <w:br/>
        <w:t>SCAM-103: Kiểm duyệt &amp; Chuẩn hóa Phần III. MATERIALS AND METHODS (Quy trình Dữ liệu, WBCE, ONNX &amp; Hội đồng 3-Agent)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Issue Key: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SCAM-103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Issue Type: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Sub-task / Review Task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Assignee: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Nguyễn Minh Quang (quangnm)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Priority: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High / Blocker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Section Scope: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III. MATERIALS AND METHODS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Story Points: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Target Venue: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JAIT (Journal)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Sprint: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Sprint 4 - Paper Polish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File LaTeX: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paper/sections/03_method.tex &amp; main.tex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Status: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TO DO (In Progress)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color w:val="003366"/>
          <w:sz w:val="22"/>
        </w:rPr>
        <w:t>1. MỤC TIÊU VÀ PHẠM VI KIỂM DUYỆT (OBJECTIVES &amp; SCOPE)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Kiểm tra mô tả chi tiết, minh bạch quy trình thu thập và phân chia dữ liệu đảm bảo tính tái lập (Replicability) theo chuẩn JAIT.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Xác thực công thức toán học của hàm tổn thất Cost-Sensitive WBCE (Equation 1 &amp; 2) và giải thích gradient dốc gấp 5 lần (alpha=5.0).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Mô tả lượng tử hóa ONNX INT8 của ViSoBERT (dung lượng 390 MB, trễ 15.8 ms trên CPU).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Chuẩn hóa mô tả Hội đồng Đa tác tử Tier 2 theo cấu hình Occam 3-Agent (kèm cơ chế Veto -0.25 của ghế Public Defender).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Đảm bảo định nghĩa chuẩn 3 nhãn SCAM-RISK, LOW-RISK, UNKNOWN tuân thủ Điều 25 Nghị định 13/2023/NĐ-CP và PII masking.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03366"/>
          <w:sz w:val="22"/>
        </w:rPr>
        <w:t>2. CÁC SỐ LIỆU, CÔNG THỨC &amp; DẪN CHỨNG PHẢI ĐỐI SOÁT CHÍNH XÁC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Tập dữ liệu gốc: N = 2,664 tin nhắn (1,918 Benign ~ 72.0%, 746 Scam ~ 28.0%).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Phân chia: 90% Train/Val (2,397 tin nhắn), 10% Frozen Test Partition (N = 267: 192 Ham, 75 Scam, stratified seed 42, Cohen kappa = 0.88).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Tập thử thách pháp y Hard Forensic Suite: N = 117 tin nhắn (98 scam lures tinh vi, 19 OTP ngân hàng/dịch vụ chuẩn).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Tập tổng hợp E2E Suite: N = 384 tin nhắn (267 Frozen Test + 117 Hard Forensic).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Trọng số hội đồng 3-Agent: Ghế A Cyber Threat (w_A = 0.35), Ghế B Ngôn ngữ (w_B = 0.35), Ghế C Public Defender (w_C = 0.30, delta_defender = 0.25).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Ngưỡng phán quyết 3 nhãn: SCAM-RISK (P &gt;= 0.60), LOW-RISK (P &lt; 0.40), UNKNOWN (0.40 &lt;= P &lt; 0.60).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03366"/>
          <w:sz w:val="22"/>
        </w:rPr>
        <w:t>3. DANH SÁCH FILE NGUỒN CẦN ĐỐI CHIẾU TRONG REPOSITORY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Đường Dẫn File Trong Repo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Nội Dung Đối Chiếu Cụ Thể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Mức Độ Quan Trọng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data/raw/vietnamese_sms_merged_all.csv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Xác nhận số lượng dòng và tỷ lệ phân bố nhãn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7"/>
              </w:rPr>
              <w:t>Bắt buộc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pipeline/forensic_council.py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Kiểm tra code logic trọng số 3 ghế và nhãn UNKNOWN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7"/>
              </w:rPr>
              <w:t>Bắt buộc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config/council_registry.yaml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Kiểm tra cấu hình phân quyền và ngưỡng gating [0.40, 0.60]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7"/>
              </w:rPr>
              <w:t>Bắt buộc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pipeline/local_classifier.py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Xác thực cấu hình inference ONNX INT8 và latency 15.8 ms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Quan trọng</w:t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i w:val="0"/>
          <w:color w:val="003366"/>
          <w:sz w:val="22"/>
        </w:rPr>
        <w:t>4. QUY CHUẨN ĐỊNH DẠNG JAIT BẮT BUỘC (JAIT COMPLIANCE)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Công thức toán học phải được đánh số thứ tự liên tục (1), (2), (3) và định dạng KaTeX/LaTeX chuẩn.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Danh sách gạch đầu dòng và danh sách đánh số phải theo đúng quy chuẩn JAIT: Bulleted lists và Numbered lists (1), (2).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Mọi siêu tham số huấn luyện (learning rate 2e-5, warmup 0.1, weight decay 0.01, epochs 4, batch size 16) phải được ghi rõ ràng.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03366"/>
          <w:sz w:val="22"/>
        </w:rPr>
        <w:t>5. CHECKLIST NGHIỆM THU (DEFINITION OF DONE - DoD)</w:t>
      </w:r>
    </w:p>
    <w:p>
      <w:pPr>
        <w:spacing w:after="40"/>
        <w:ind w:left="288"/>
      </w:pPr>
      <w:r>
        <w:rPr>
          <w:rFonts w:ascii="Times New Roman" w:hAnsi="Times New Roman"/>
          <w:b w:val="0"/>
          <w:i w:val="0"/>
          <w:sz w:val="19"/>
        </w:rPr>
        <w:t>[ ]  Số lượng mẫu các tập N=2,664, N=267, N=117, N=384 khớp 100% không sai lệch 1 mẫu nào.</w:t>
      </w:r>
    </w:p>
    <w:p>
      <w:pPr>
        <w:spacing w:after="40"/>
        <w:ind w:left="288"/>
      </w:pPr>
      <w:r>
        <w:rPr>
          <w:rFonts w:ascii="Times New Roman" w:hAnsi="Times New Roman"/>
          <w:b w:val="0"/>
          <w:i w:val="0"/>
          <w:sz w:val="19"/>
        </w:rPr>
        <w:t>[ ]  Công thức đạo hàm WBCE ở Eq. (2) chính xác về mặt vi tích phân.</w:t>
      </w:r>
    </w:p>
    <w:p>
      <w:pPr>
        <w:spacing w:after="40"/>
        <w:ind w:left="288"/>
      </w:pPr>
      <w:r>
        <w:rPr>
          <w:rFonts w:ascii="Times New Roman" w:hAnsi="Times New Roman"/>
          <w:b w:val="0"/>
          <w:i w:val="0"/>
          <w:sz w:val="19"/>
        </w:rPr>
        <w:t>[ ]  Logic nhãn 3 trạng thái SCAM-RISK, LOW-RISK, UNKNOWN khớp chính xác với code trong forensic_council.py.</w:t>
      </w:r>
    </w:p>
    <w:p>
      <w:pPr>
        <w:spacing w:after="40"/>
        <w:ind w:left="288"/>
      </w:pPr>
      <w:r>
        <w:rPr>
          <w:rFonts w:ascii="Times New Roman" w:hAnsi="Times New Roman"/>
          <w:b w:val="0"/>
          <w:i w:val="0"/>
          <w:sz w:val="19"/>
        </w:rPr>
        <w:t>[ ]  Đã ghi rõ việc tuân thủ Nghị định 13/2023/NĐ-CP về che giấu thông tin định danh (PII redaction).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