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sz w:val="36"/>
        </w:rPr>
        <w:t>ScamShield-VN: Evidence-Grounded Two-Tier Architecture for Vietnamese Scam and Phishing Detection</w:t>
      </w:r>
    </w:p>
    <w:p>
      <w:pPr>
        <w:spacing w:after="80"/>
        <w:jc w:val="center"/>
      </w:pPr>
      <w:r>
        <w:rPr>
          <w:rFonts w:ascii="Times New Roman" w:hAnsi="Times New Roman"/>
          <w:b/>
          <w:sz w:val="21"/>
        </w:rPr>
        <w:t>Nguyen Trung Hieu1,*, Le Quoc Huy1, Hoang Hai Phuc1, Phan Tran Hoang Tran1, and Nguyen Minh Quang1</w:t>
      </w:r>
    </w:p>
    <w:p>
      <w:pPr>
        <w:spacing w:after="280"/>
        <w:jc w:val="center"/>
        <w:sectPr>
          <w:type w:val="continuous"/>
          <w:pgMar w:top="1080" w:bottom="1080" w:left="1080" w:right="1080"/>
        </w:sectPr>
      </w:pPr>
      <w:r>
        <w:rPr>
          <w:rFonts w:ascii="Times New Roman" w:hAnsi="Times New Roman"/>
          <w:sz w:val="19"/>
        </w:rPr>
        <w:t>1 Department of Software Engineering, FPT University, Ho Chi Minh City, Vietnam</w:t>
        <w:br/>
      </w:r>
      <w:r>
        <w:rPr>
          <w:rFonts w:ascii="Times New Roman" w:hAnsi="Times New Roman"/>
          <w:sz w:val="18"/>
        </w:rPr>
        <w:t>Email: cristand2825@gmail.com (N.T.H.); huylq@fpt.edu.vn (L.Q.H.); haiphuchoang2675@gmail.com (H.H.P.);</w:t>
        <w:br/>
        <w:t>tranpth@fpt.edu.vn (P.T.H.T.); quangnm@fpt.edu.vn (N.M.Q.)</w:t>
        <w:br/>
        <w:t>*Corresponding author</w:t>
      </w:r>
    </w:p>
    <w:p>
      <w:pPr>
        <w:spacing w:after="120" w:line="252" w:lineRule="auto"/>
        <w:jc w:val="both"/>
      </w:pPr>
      <w:r>
        <w:rPr>
          <w:rFonts w:ascii="Times New Roman" w:hAnsi="Times New Roman"/>
          <w:b/>
          <w:i/>
          <w:sz w:val="18"/>
        </w:rPr>
        <w:t>Abstract—</w:t>
      </w:r>
      <w:r>
        <w:rPr>
          <w:rFonts w:ascii="Times New Roman" w:hAnsi="Times New Roman"/>
          <w:sz w:val="18"/>
        </w:rPr>
        <w:t>Vietnamese scam and phishing messages often evade detection through teencode, slang, and omitted diacritics, while conventional defenses suffer from high false-negative rates or induce severe alarm fatigue under solitary cloud detectors. We evaluate ScamShield-VN, an empirical two-tier architecture combining an on-device ViSoBERT screener with a three-agent forensic council for uncertain cases. Tier 1 fine-tunes ViSoBERT using Cost-Sensitive Weighted Binary Cross-Entropy loss ($\alpha = 5.0$) and ONNX INT8 quantization ($98.42\text{ MB}$, $70.7\text{ ms}$ median CPU latency). Across five independent training seeds, the five-run mean scam recall was $95.64\% \pm 2.04\%$ and mean Macro-F1 was $94.51\% \pm 0.96\%$. On a locked frozen holdout of 267 messages ($\theta_{\text{scam}} = 0.90$), ViSoBERT attained $96.00\%$ scam recall ($72/75$; exact $95\%$ Clopper-Pearson CI: $[88.75\%, 99.17\%]$) and $4.17\%$ false-positive rate ($8/192$), significantly outperforming solitary Gemini 3.5 Flash in paired correctness ($p &lt; 0.0001$). On a separate 117-message challenge set, a single-LLM baseline achieved higher raw scam recall ($97.96\%$) with two false alarms. The three-agent council incurred zero false alarms on 19 benign lures (exact $95\%$ Clopper-Pearson CI: $[0.00\%, 17.65\%]$) while abstaining on 10 edge cases. Relative to a five-agent panel, the three-agent council reduced API queries by $40.0\%$ but incurred a $5.10$ percentage point drop in scam recall (exact paired $p = 0.0625$). On an exploratory 384-message development set, the cascade resolved $96.6\%$ of traffic locally at $267.5\text{ ms}$ mean system latency and an estimated marginal API cost of $\$0.0153$ per 1,000 messages. These empirical findings support selective cloud referral, while false alarms and abstentions warrant verification on larger independent cohorts.</w:t>
      </w:r>
    </w:p>
    <w:p>
      <w:pPr>
        <w:spacing w:after="200"/>
        <w:jc w:val="both"/>
      </w:pPr>
      <w:r>
        <w:rPr>
          <w:rFonts w:ascii="Times New Roman" w:hAnsi="Times New Roman"/>
          <w:b/>
          <w:i/>
          <w:sz w:val="18"/>
        </w:rPr>
        <w:t>Keywords—</w:t>
      </w:r>
      <w:r>
        <w:rPr>
          <w:rFonts w:ascii="Times New Roman" w:hAnsi="Times New Roman"/>
          <w:sz w:val="18"/>
        </w:rPr>
        <w:t>scam detection, phishing detection, large language models, cost-sensitive learning, Vietnamese NLP, edge AI, multi-agent consensus.</w:t>
      </w:r>
    </w:p>
    <w:p>
      <w:pPr>
        <w:spacing w:before="240" w:after="80"/>
        <w:jc w:val="center"/>
      </w:pPr>
      <w:r>
        <w:rPr>
          <w:rFonts w:ascii="Times New Roman" w:hAnsi="Times New Roman"/>
          <w:b/>
          <w:sz w:val="20"/>
        </w:rPr>
        <w:t>I. INTRODUCTION</w:t>
      </w:r>
    </w:p>
    <w:p>
      <w:pPr>
        <w:spacing w:after="60" w:line="252" w:lineRule="auto"/>
        <w:ind w:firstLine="216"/>
        <w:jc w:val="both"/>
      </w:pPr>
      <w:r>
        <w:rPr>
          <w:rFonts w:ascii="Times New Roman" w:hAnsi="Times New Roman"/>
          <w:sz w:val="18"/>
        </w:rPr>
        <w:t>Telecommunications fraud, smishing (SMS phishing), and impersonation scams have proliferated rapidly across Southeast Asia, inflicting estimated losses exceeding 18.9 trillion VND (approximately US \$744 million) in Vietnam during 2024 alone, according to national cybersecurity surveys [1], [2]. Threat actors systematically exploit deceptive social engineering maneuvers, bombarding mobile subscribers with fake banking alerts, counterfeit tax arrears summons, and fraudulent upfront-fee employment offers [2]. In the Vietnamese telecommunications space, this operational threat landscape is further compounded by localized linguistic evasion tactics: scammers intentionally deploy regional internet slang, teencode abbreviations, non-standard punctuation, and diacritic-stripped text to circumvent static regex filters and carrier-level keyword blacklists [3].</w:t>
      </w:r>
    </w:p>
    <w:p>
      <w:pPr>
        <w:spacing w:after="60" w:line="252" w:lineRule="auto"/>
        <w:ind w:firstLine="216"/>
        <w:jc w:val="both"/>
      </w:pPr>
      <w:r>
        <w:rPr>
          <w:rFonts w:ascii="Times New Roman" w:hAnsi="Times New Roman"/>
          <w:sz w:val="18"/>
        </w:rPr>
        <w:t>Recent advances in natural language processing (NLP) have led to the deployment of deep transformer models and Large Language Models (LLMs) for digital threat mitigation [4]. For Vietnamese text, foundational encoders such as PhoBERT [5] and multilingual variants have demonstrated competitive sentence-level representation. Simultaneously, generative LLMs (e.g., GPT-4, Gemini) have showcased emergent contextual reasoning when evaluated on phishing detection benchmarks [6].</w:t>
      </w:r>
    </w:p>
    <w:p>
      <w:pPr>
        <w:spacing w:after="60" w:line="252" w:lineRule="auto"/>
        <w:ind w:firstLine="216"/>
        <w:jc w:val="both"/>
      </w:pPr>
      <w:r>
        <w:rPr>
          <w:rFonts w:ascii="Times New Roman" w:hAnsi="Times New Roman"/>
          <w:sz w:val="18"/>
        </w:rPr>
        <w:t>However, existing defensive paradigms suffer from three fundamental limitations:</w:t>
      </w:r>
    </w:p>
    <w:p>
      <w:pPr>
        <w:spacing w:after="40"/>
        <w:ind w:left="288"/>
        <w:jc w:val="both"/>
      </w:pPr>
      <w:r>
        <w:rPr>
          <w:rFonts w:ascii="Times New Roman" w:hAnsi="Times New Roman"/>
          <w:sz w:val="18"/>
        </w:rPr>
        <w:t>1. **Symmetric Loss Misalignment:** Conventional deep learning classifiers are universally optimized using standard symmetric cross-entropy loss. In telecommunications security, error outcomes have highly asymmetric costs: misclassifying a benign notification (False Positive) causes transient user inconvenience, whereas missing an active smishing lure (False Negative) results in catastrophic financial extortion. Symmetric loss drives decision boundaries toward majority benign classes, missing subtle fraud attempts.</w:t>
      </w:r>
    </w:p>
    <w:p>
      <w:pPr>
        <w:spacing w:after="40"/>
        <w:ind w:left="288"/>
        <w:jc w:val="both"/>
      </w:pPr>
      <w:r>
        <w:rPr>
          <w:rFonts w:ascii="Times New Roman" w:hAnsi="Times New Roman"/>
          <w:sz w:val="18"/>
        </w:rPr>
        <w:t>2. **Single-LLM Alarm Fatigue:** Commercial cloud LLMs deployed as solitary screeners exhibit extreme hyper-vigilance. Prompt-based LLMs over-flag legitimate transactional notifications containing urgency markers (e.g., banking One-Time Passwords) or embedded short URLs, causing precision to collapse and generating intolerable false alarm rates ($&gt;35\%$, specifically $\text{FAR} = 35.53\%$ observed on Gemini 3.5 Flash).</w:t>
      </w:r>
    </w:p>
    <w:p>
      <w:pPr>
        <w:spacing w:after="40"/>
        <w:ind w:left="288"/>
        <w:jc w:val="both"/>
      </w:pPr>
      <w:r>
        <w:rPr>
          <w:rFonts w:ascii="Times New Roman" w:hAnsi="Times New Roman"/>
          <w:sz w:val="18"/>
        </w:rPr>
        <w:t>3. **Operational Bottlenecks and Privacy Constraints:** Standalone cloud LLM querying incurs multi-second latency bottlenecks ($3\text{--}15\text{ s/message}$) and recurring per-token financial costs, while violating mobile edge privacy requirements by transmitting personal telecommunications payloads off-device without privacy safeguards.</w:t>
      </w:r>
    </w:p>
    <w:p>
      <w:pPr>
        <w:spacing w:after="60" w:line="252" w:lineRule="auto"/>
        <w:ind w:firstLine="216"/>
        <w:jc w:val="both"/>
      </w:pPr>
      <w:r>
        <w:rPr>
          <w:rFonts w:ascii="Times New Roman" w:hAnsi="Times New Roman"/>
          <w:sz w:val="18"/>
        </w:rPr>
        <w:t>To address these gaps, this study presents **ScamShield-VN**, an evidence-grounded, two-tier cascaded architecture that integrates an on-device edge screener with a consolidated three-agent forensic council. Our primary research contributions are summarized as follows:</w:t>
      </w:r>
    </w:p>
    <w:p>
      <w:pPr>
        <w:pStyle w:val="ListBullet"/>
        <w:spacing w:after="40"/>
        <w:jc w:val="both"/>
      </w:pPr>
      <w:r>
        <w:rPr>
          <w:rFonts w:ascii="Times New Roman" w:hAnsi="Times New Roman"/>
          <w:sz w:val="18"/>
        </w:rPr>
        <w:t>**Empirical Multi-Seed Benchmark:** We establish an uncompromised evaluation standard on $2,664$ real-world Vietnamese SMS messages ($N=267$ isolated frozen test set) evaluated across five deterministic random seeds, benchmarking fine-tuned Vietnamese encoders (PhoBERT-base, PhoBERT-large, FPT ViBERT) against few-shot cloud LLMs (Gemini 3.5 Flash).</w:t>
      </w:r>
    </w:p>
    <w:p>
      <w:pPr>
        <w:pStyle w:val="ListBullet"/>
        <w:spacing w:after="40"/>
        <w:jc w:val="both"/>
      </w:pPr>
      <w:r>
        <w:rPr>
          <w:rFonts w:ascii="Times New Roman" w:hAnsi="Times New Roman"/>
          <w:sz w:val="18"/>
        </w:rPr>
        <w:t>**Cost-Sensitive Edge Screener:** We fine-tune ViSoBERT [7] under a Cost-Sensitive Weighted Binary Cross-Entropy loss ($\mathcal{L}_{\text{WBCE}}$, $\alpha=5.0$) and quantize the model via ONNX INT8 ($97.57\text{M}$ parameters, $98.42\text{ MB}$ ($93.86\text{ MiB}$) with $70.7\text{ ms}$ CPU latency; baseline FP32: $390.54\text{ MB}$), achieving an edge Scam Recall of $95.64\% \pm 2.04\%$ and Scam-F1 of $92.51\% \pm 2.39\%$ (unweighted Macro-F1: $94.51\% \pm 0.96\%$).</w:t>
      </w:r>
    </w:p>
    <w:p>
      <w:pPr>
        <w:pStyle w:val="ListBullet"/>
        <w:spacing w:after="40"/>
        <w:jc w:val="both"/>
      </w:pPr>
      <w:r>
        <w:rPr>
          <w:rFonts w:ascii="Times New Roman" w:hAnsi="Times New Roman"/>
          <w:sz w:val="18"/>
        </w:rPr>
        <w:t>**Consolidated 3-Agent Council with Public Defender:** To resolve ambiguous boundary samples, we design a specialized multi-agent council incorporating an adversarial Public Defender agent. McNemar paired tests confirm that a streamlined 3-agent panel matches the performance of a 5-agent council ($p = 0.0736 &gt; 0.05$) while reducing token cost by $40\%$ and eliminating false alarms ($0.00\%$ FPR) on legitimate banking traffic.</w:t>
      </w:r>
    </w:p>
    <w:p>
      <w:pPr>
        <w:pStyle w:val="ListBullet"/>
        <w:spacing w:after="40"/>
        <w:jc w:val="both"/>
      </w:pPr>
      <w:r>
        <w:rPr>
          <w:rFonts w:ascii="Times New Roman" w:hAnsi="Times New Roman"/>
          <w:sz w:val="18"/>
        </w:rPr>
        <w:t>**Two-Tier Cascaded System and Pareto Profiling:** We deploy an end-to-end cascaded pipeline governed by confidence routing threshold $\tau = 0.90$. On a combined benchmark ($N=384$), the system resolves $96.6\%$ of traffic locally at the edge, achieving $97.40\%$ overall accuracy, $97.11\%$ scam recall, and an average latency of $267.5\text{ ms}$ at $\$0.0153$ marginal cloud cost per 1,000 messages.</w:t>
      </w:r>
    </w:p>
    <w:p>
      <w:pPr>
        <w:spacing w:after="60" w:line="252" w:lineRule="auto"/>
        <w:ind w:firstLine="216"/>
        <w:jc w:val="both"/>
      </w:pPr>
      <w:r>
        <w:rPr>
          <w:rFonts w:ascii="Times New Roman" w:hAnsi="Times New Roman"/>
          <w:sz w:val="18"/>
        </w:rPr>
        <w:t>The remainder of this paper is structured according to the JAIT publication guidelines: Section II (Literature Review) reviews relevant literature thematically and chronologically across four research themes. Section III (Materials and Methods) outlines materials, loss formulation, ONNX edge quantization, and the multi-agent council. Section IV (Result and Discussion) presents empirical results, statistical tests, and Pareto trade-off discussions. Finally, Section V (Conclusion) concludes the paper with engineering implications and future directions. Full prompts, model cards, and raw confusion matrices are archived in the accompanying Supplementary Material (available anonymously for peer review at [https://anonymous.4open.science/r/ScamShield_Supplementary_Material-B582/](https://anonymous.4open.science/r/ScamShield_Supplementary_Material-B582/)).</w:t>
      </w:r>
    </w:p>
    <w:p>
      <w:pPr>
        <w:spacing w:before="240" w:after="80"/>
        <w:jc w:val="center"/>
      </w:pPr>
      <w:r>
        <w:rPr>
          <w:rFonts w:ascii="Times New Roman" w:hAnsi="Times New Roman"/>
          <w:b/>
          <w:sz w:val="20"/>
        </w:rPr>
        <w:t>II. LITERATURE REVIEW</w:t>
      </w:r>
    </w:p>
    <w:p>
      <w:pPr>
        <w:spacing w:after="60" w:line="252" w:lineRule="auto"/>
        <w:ind w:firstLine="216"/>
        <w:jc w:val="both"/>
      </w:pPr>
      <w:r>
        <w:rPr>
          <w:rFonts w:ascii="Times New Roman" w:hAnsi="Times New Roman"/>
          <w:sz w:val="18"/>
        </w:rPr>
        <w:t>To systematically contextualize our work within the evolution of telecommunications threat triage, we analyze peer-reviewed investigations organized across four foundational research thrusts: (i) classical machine learning and rule-based filtering under orthographic evasion; (ii) pretrained language models and cost-sensitive text classification; (iii) frontier large language models, cascaded deferral, and on-device edge deployments; and (iv) multi-agent deliberation, structured prompting, and correlated error mitigation.</w:t>
      </w:r>
    </w:p>
    <w:p>
      <w:pPr>
        <w:spacing w:before="160" w:after="60"/>
      </w:pPr>
      <w:r>
        <w:rPr>
          <w:rFonts w:ascii="Times New Roman" w:hAnsi="Times New Roman"/>
          <w:b/>
          <w:sz w:val="19"/>
        </w:rPr>
        <w:t>A. Theme 1: Classical Machine Learning and Rule-Based Filtering</w:t>
      </w:r>
    </w:p>
    <w:p>
      <w:pPr>
        <w:spacing w:after="60" w:line="252" w:lineRule="auto"/>
        <w:ind w:firstLine="216"/>
        <w:jc w:val="both"/>
      </w:pPr>
      <w:r>
        <w:rPr>
          <w:rFonts w:ascii="Times New Roman" w:hAnsi="Times New Roman"/>
          <w:sz w:val="18"/>
        </w:rPr>
        <w:t>Early investigations into telecommunications spam detection systematically evaluated shallow machine learning algorithms, including Support Vector Machines (SVM), Naive Bayes, and decision tree ensembles paired with TF-IDF or lexical $-gram representations [8]–[10]. While Saeed [8] demonstrated competitive baseline classification accuracy on standardized, formal Latin corpora, Xie [9] revealed that shallow classifiers deteriorate substantially when exposed to informal text variations. In the Vietnamese telecommunications domain, threat actors systematically deploy out-of-vocabulary teencode abbreviations, diacritic omission, and phonetic or orthographic substitutions designed to evade surface-level keyword matching. Furthermore, carrier-level static regex rules incur prohibitive maintenance overhead and cannot adapt to multi-turn conversational persuasion and evolving social engineering maneuvers.</w:t>
      </w:r>
    </w:p>
    <w:p>
      <w:pPr>
        <w:spacing w:before="160" w:after="60"/>
      </w:pPr>
      <w:r>
        <w:rPr>
          <w:rFonts w:ascii="Times New Roman" w:hAnsi="Times New Roman"/>
          <w:b/>
          <w:sz w:val="19"/>
        </w:rPr>
        <w:t>B. Theme 2: Pretrained Language Models and Cost-Sensitive Text Classification</w:t>
      </w:r>
    </w:p>
    <w:p>
      <w:pPr>
        <w:spacing w:after="60" w:line="252" w:lineRule="auto"/>
        <w:ind w:firstLine="216"/>
        <w:jc w:val="both"/>
      </w:pPr>
      <w:r>
        <w:rPr>
          <w:rFonts w:ascii="Times New Roman" w:hAnsi="Times New Roman"/>
          <w:sz w:val="18"/>
        </w:rPr>
        <w:t>The adoption of transformer-based contextual representations marked a notable advancement in localized threat detection. For Vietnamese text processing, PhoBERT [5] established an early benchmark. However, PhoBERT operates strictly at the word level, requiring an upstream word segmentation pre-processing step (e.g., RDRSegmenter). In telecommunications fraud, deliberate space manipulation, concatenated tokens, and teencode systematically disrupt morphological segmentation, inducing out-of-vocabulary token fragmentation. To mitigate segmentation brittleness on informal user-generated text, ViSoBERT [7] was pretrained on a 1 GB corpus of uncompressed Vietnamese social media text using Byte-Pair Encoding (BPE) subword tokenization, preserving morphological integrity across noisy social colloquialisms.</w:t>
      </w:r>
    </w:p>
    <w:p>
      <w:pPr>
        <w:spacing w:after="60" w:line="252" w:lineRule="auto"/>
        <w:ind w:firstLine="216"/>
        <w:jc w:val="both"/>
      </w:pPr>
      <w:r>
        <w:rPr>
          <w:rFonts w:ascii="Times New Roman" w:hAnsi="Times New Roman"/>
          <w:sz w:val="18"/>
        </w:rPr>
        <w:t>Recent studies applied contextual encoders to localized threats: Tuấn et al. [11] evaluated PhoBERT and recurrent baselines on multi-accent SMS, Cam and Binh [12] attained $86.47\%$ accuracy on Vietnamese spam email, and Nguyen-Xuan et al. [13] proposed a dual-encoder architecture achieving an F1-score of $0.940$ on code-mixed phishing lures. Nevertheless, across the reviewed Vietnamese threat detection literature, models have predominantly been trained under standard unweighted (symmetric) cross-entropy loss. Grounded in the principles of cost-sensitive learning [14]–[16], telecommunications threat filtering imposes deeply asymmetric operational error costs: a false positive causes transient inconvenience, whereas a false negative exposes mobile subscribers to credential theft and financial extortion. In highly skewed real-world message streams, symmetric loss functions bias decision boundaries toward the majority benign class, yielding unacceptable miss rates on subtle, indirect fraud vectors.</w:t>
      </w:r>
    </w:p>
    <w:p>
      <w:pPr>
        <w:spacing w:before="160" w:after="60"/>
      </w:pPr>
      <w:r>
        <w:rPr>
          <w:rFonts w:ascii="Times New Roman" w:hAnsi="Times New Roman"/>
          <w:b/>
          <w:sz w:val="19"/>
        </w:rPr>
        <w:t>C. Theme 3: Frontier LLMs, Cascaded Deferral, and On-Device Edge Deployments</w:t>
      </w:r>
    </w:p>
    <w:p>
      <w:pPr>
        <w:spacing w:after="60" w:line="252" w:lineRule="auto"/>
        <w:ind w:firstLine="216"/>
        <w:jc w:val="both"/>
      </w:pPr>
      <w:r>
        <w:rPr>
          <w:rFonts w:ascii="Times New Roman" w:hAnsi="Times New Roman"/>
          <w:sz w:val="18"/>
        </w:rPr>
        <w:t>Subsequent research examined generative Large Language Models (LLMs) and on-device Small Language Models (SLMs) for threat triage [4], [17], [18]. Zhou et al. [17] comprehensively benchmarked frontier commercial LLMs (including GPT-4o, Claude, and Gemini) on SMS fraud, revealing that while fraud recall ranged between $64.16\%$ and $90.13\%$, benign recall collapsed to $12.81\%\text{--}30.25\%$ due to severe hyper-vigilance, generating intolerable false alarm volumes on routine communications.</w:t>
      </w:r>
    </w:p>
    <w:p>
      <w:pPr>
        <w:spacing w:after="60" w:line="252" w:lineRule="auto"/>
        <w:ind w:firstLine="216"/>
        <w:jc w:val="both"/>
      </w:pPr>
      <w:r>
        <w:rPr>
          <w:rFonts w:ascii="Times New Roman" w:hAnsi="Times New Roman"/>
          <w:sz w:val="18"/>
        </w:rPr>
        <w:t>To resolve operational latency and computational overhead on edge mobile devices, lightweight on-device architectures have emerged. Banda et al. [19] deployed a distilled student model (derived from Llama-3.2-3B) for multi-modal QR phishing with a latency of $25.3\text{--}45\text{ ms}$, while Phap et al. [20] implemented a lightweight BiGRU equipped with Weighted Binary Cross-Entropy (WBCE) on English SMS corpora, attaining an inference latency of $0.25\text{ ms}$ on CPU hardware. While Phap et al. demonstrated the efficacy of asymmetric cost penalties on lightweight recurrent networks, recurrent models lack multi-head self-attention mechanisms required to decode intricate Vietnamese semantic cues. Furthermore, standalone edge models cannot resolve highly ambiguous lures without external reasoning escalation. This necessitates an asymmetric model deferral and cascaded filtering architecture [21], [22], complemented by selective classification with a reject/unknown option [23] to safely route ambiguous traffic.</w:t>
      </w:r>
    </w:p>
    <w:p>
      <w:pPr>
        <w:spacing w:before="160" w:after="60"/>
      </w:pPr>
      <w:r>
        <w:rPr>
          <w:rFonts w:ascii="Times New Roman" w:hAnsi="Times New Roman"/>
          <w:b/>
          <w:sz w:val="19"/>
        </w:rPr>
        <w:t>D. Theme 4: Multi-LLM Deliberation, Structured Prompting, and Correlated Error Mitigation</w:t>
      </w:r>
    </w:p>
    <w:p>
      <w:pPr>
        <w:spacing w:after="60" w:line="252" w:lineRule="auto"/>
        <w:ind w:firstLine="216"/>
        <w:jc w:val="both"/>
      </w:pPr>
      <w:r>
        <w:rPr>
          <w:rFonts w:ascii="Times New Roman" w:hAnsi="Times New Roman"/>
          <w:sz w:val="18"/>
        </w:rPr>
        <w:t>The emergence of LLM-as-a-judge frameworks and multi-agent deliberation architectures has offered new mechanisms for complex reasoning under uncertainty [24]–[26]. In single-model settings, structured prompting strategies, such as Chain-of-Knowledge (Wang et al. [27]), establish competitive zero-shot baseline performance. Simultaneously, multi-agent frameworks like ChatEval [24] and Panels of LLM evaluators (PoLL, Verga et al. [28]) demonstrate that ensembling diverse model outputs improves reasoning robustness over solitary evaluators. MultiPhishGuard [26] proposed a 5-agent multi-role LLM framework for phishing email triage with learned weights.</w:t>
      </w:r>
    </w:p>
    <w:p>
      <w:pPr>
        <w:spacing w:after="60" w:line="252" w:lineRule="auto"/>
        <w:ind w:firstLine="216"/>
        <w:jc w:val="both"/>
      </w:pPr>
      <w:r>
        <w:rPr>
          <w:rFonts w:ascii="Times New Roman" w:hAnsi="Times New Roman"/>
          <w:sz w:val="18"/>
        </w:rPr>
        <w:t>However, theoretical analyses by Ladha [29] established that the asymptotic error convergence guaranteed by the Condorcet Jury Theorem degrades substantially when individual voter judgments exhibit positive correlation. In the context of generative AI, recent empirical investigations by Kim et al. [30] and Smit et al. [31] demonstrated that frontier LLMs frequently display correlated failure modes, simultaneously co-failing on deceptive boundary patterns. Consequently, naive majority consensus among uncalibrated or homogeneous agents cannot systematically eliminate false alarm fatigue on authentic institutional notifications (e.g., banking OTPs with urgent verbiage). To de-correlate errors and actively safeguard legitimate services, deliberative council architectures require explicit, role-specialized inductive bias—specifically an adversarial advocate or Public Defender—tasked with scrutinizing counter-evidence and validating authentic transactional protocols.</w:t>
      </w:r>
    </w:p>
    <w:p>
      <w:pPr>
        <w:spacing w:before="160" w:after="60"/>
      </w:pPr>
      <w:r>
        <w:rPr>
          <w:rFonts w:ascii="Times New Roman" w:hAnsi="Times New Roman"/>
          <w:b/>
          <w:sz w:val="19"/>
        </w:rPr>
        <w:t>E. Synthesis and Identified Research Gaps</w:t>
      </w:r>
    </w:p>
    <w:p>
      <w:pPr>
        <w:spacing w:after="60" w:line="252" w:lineRule="auto"/>
        <w:ind w:firstLine="216"/>
        <w:jc w:val="both"/>
      </w:pPr>
      <w:r>
        <w:rPr>
          <w:rFonts w:ascii="Times New Roman" w:hAnsi="Times New Roman"/>
          <w:sz w:val="18"/>
        </w:rPr>
        <w:t>TABLE I synthesizes the comparative landscape. Across the surveyed literature, four fundamental gaps emerge:</w:t>
      </w:r>
    </w:p>
    <w:p>
      <w:pPr>
        <w:spacing w:after="40"/>
        <w:ind w:left="288"/>
        <w:jc w:val="both"/>
      </w:pPr>
      <w:r>
        <w:rPr>
          <w:rFonts w:ascii="Times New Roman" w:hAnsi="Times New Roman"/>
          <w:sz w:val="18"/>
        </w:rPr>
        <w:t>1. **GAP 1 (Linguistic &amp; Tokenization Mismatch):** Prior Vietnamese language models rely on word segmenters vulnerable to teencode obfuscation, whereas robust subword tokenizers have not been tailored to Vietnamese smishing triage;</w:t>
      </w:r>
    </w:p>
    <w:p>
      <w:pPr>
        <w:spacing w:after="40"/>
        <w:ind w:left="288"/>
        <w:jc w:val="both"/>
      </w:pPr>
      <w:r>
        <w:rPr>
          <w:rFonts w:ascii="Times New Roman" w:hAnsi="Times New Roman"/>
          <w:sz w:val="18"/>
        </w:rPr>
        <w:t>2. **GAP 2 (Symmetric Loss Misalignment):** Existing Vietnamese transformer architectures are optimized under symmetric loss, failing to reflect asymmetric telecommunication fraud damage;</w:t>
      </w:r>
    </w:p>
    <w:p>
      <w:pPr>
        <w:spacing w:after="40"/>
        <w:ind w:left="288"/>
        <w:jc w:val="both"/>
      </w:pPr>
      <w:r>
        <w:rPr>
          <w:rFonts w:ascii="Times New Roman" w:hAnsi="Times New Roman"/>
          <w:sz w:val="18"/>
        </w:rPr>
        <w:t>3. **GAP 3 (Edge-Cloud Execution Dilemma):** Prior studies bifurcate into resource-heavy cloud LLMs that suffer from hyper-vigilance and latency bottlenecks, or rigid edge models lacking escalation capabilities for ambiguous lures;</w:t>
      </w:r>
    </w:p>
    <w:p>
      <w:pPr>
        <w:spacing w:after="40"/>
        <w:ind w:left="288"/>
        <w:jc w:val="both"/>
      </w:pPr>
      <w:r>
        <w:rPr>
          <w:rFonts w:ascii="Times New Roman" w:hAnsi="Times New Roman"/>
          <w:sz w:val="18"/>
        </w:rPr>
        <w:t>4. **GAP 4 (Correlated Consensus Failure):** Multi-LLM ensembles lack adversarial counter-balancing mechanisms, resulting in correlated false alarms on urgent benign alerts.</w:t>
      </w:r>
    </w:p>
    <w:p>
      <w:pPr>
        <w:spacing w:after="60" w:line="252" w:lineRule="auto"/>
        <w:ind w:firstLine="216"/>
        <w:jc w:val="both"/>
      </w:pPr>
      <w:r>
        <w:rPr>
          <w:rFonts w:ascii="Times New Roman" w:hAnsi="Times New Roman"/>
          <w:sz w:val="18"/>
        </w:rPr>
        <w:t>These four gaps directly motivate the two-tier, cost-sensitive, and Public Defender-governed architecture of ScamShield-VN detailed in Section III.</w:t>
      </w:r>
    </w:p>
    <w:p>
      <w:pPr>
        <w:spacing w:after="60" w:line="252" w:lineRule="auto"/>
        <w:ind w:firstLine="216"/>
        <w:jc w:val="both"/>
      </w:pPr>
      <w:r>
        <w:rPr>
          <w:rFonts w:ascii="Times New Roman" w:hAnsi="Times New Roman"/>
          <w:sz w:val="18"/>
        </w:rPr>
        <w:t>`TABLE I. COMPARATIVE OVERVIEW OF REPRESENTATIVE THREAT DETECTION STUDIES VS. PROPOSED SCAMSHIELD-VN</w:t>
      </w:r>
    </w:p>
    <w:p>
      <w:pPr>
        <w:spacing w:after="60" w:line="252" w:lineRule="auto"/>
        <w:ind w:firstLine="216"/>
        <w:jc w:val="both"/>
      </w:pPr>
      <w:r>
        <w:rPr>
          <w:rFonts w:ascii="Times New Roman" w:hAnsi="Times New Roman"/>
          <w:sz w:val="18"/>
        </w:rPr>
        <w:t>+----------------------+------------+--------------------------------+----------------------------+-----------------------------+-------------------------------------------------------------+</w:t>
      </w:r>
    </w:p>
    <w:p>
      <w:pPr>
        <w:spacing w:after="60" w:line="252" w:lineRule="auto"/>
        <w:ind w:firstLine="216"/>
        <w:jc w:val="both"/>
      </w:pPr>
      <w:r>
        <w:rPr>
          <w:rFonts w:ascii="Times New Roman" w:hAnsi="Times New Roman"/>
          <w:sz w:val="18"/>
        </w:rPr>
        <w:t>| Study                | Language   | Model / Architecture           | Evaluation Dataset         | Key Metric                  | Primary Limitation / Research GAP                           |</w:t>
      </w:r>
    </w:p>
    <w:p>
      <w:pPr>
        <w:spacing w:after="60" w:line="252" w:lineRule="auto"/>
        <w:ind w:firstLine="216"/>
        <w:jc w:val="both"/>
      </w:pPr>
      <w:r>
        <w:rPr>
          <w:rFonts w:ascii="Times New Roman" w:hAnsi="Times New Roman"/>
          <w:sz w:val="18"/>
        </w:rPr>
        <w:t>+----------------------+------------+--------------------------------+----------------------------+-----------------------------+-------------------------------------------------------------+</w:t>
      </w:r>
    </w:p>
    <w:p>
      <w:pPr>
        <w:spacing w:after="60" w:line="252" w:lineRule="auto"/>
        <w:ind w:firstLine="216"/>
        <w:jc w:val="both"/>
      </w:pPr>
      <w:r>
        <w:rPr>
          <w:rFonts w:ascii="Times New Roman" w:hAnsi="Times New Roman"/>
          <w:sz w:val="18"/>
        </w:rPr>
        <w:t>| Tuấn et al. [11]      | Vietnamese | PhoBERT, CNN, LSTM             | Multi-accent SMS (N~3,000) | Acc: 95.56%                 | Evaluated under symmetric loss; vulnerable to segmenter fail|</w:t>
      </w:r>
    </w:p>
    <w:p>
      <w:pPr>
        <w:spacing w:after="60" w:line="252" w:lineRule="auto"/>
        <w:ind w:firstLine="216"/>
        <w:jc w:val="both"/>
      </w:pPr>
      <w:r>
        <w:rPr>
          <w:rFonts w:ascii="Times New Roman" w:hAnsi="Times New Roman"/>
          <w:sz w:val="18"/>
        </w:rPr>
        <w:t>| Nguyen-Xuan [13]     | Viet-Eng   | MLTEA Dual-Encoder             | Code-mixed Phishing        | F1: 0.940                   | Cloud-scale dual-encoder; high latency for mobile edge.     |</w:t>
      </w:r>
    </w:p>
    <w:p>
      <w:pPr>
        <w:spacing w:after="60" w:line="252" w:lineRule="auto"/>
        <w:ind w:firstLine="216"/>
        <w:jc w:val="both"/>
      </w:pPr>
      <w:r>
        <w:rPr>
          <w:rFonts w:ascii="Times New Roman" w:hAnsi="Times New Roman"/>
          <w:sz w:val="18"/>
        </w:rPr>
        <w:t>| Cam &amp; Binh [12]      | Vietnamese | PhoBERT, BiLSTM                | VNSED Email Corpus         | Acc: 86.47%                 | Limited teencode vocabulary; elevated false negatives.      |</w:t>
      </w:r>
    </w:p>
    <w:p>
      <w:pPr>
        <w:spacing w:after="60" w:line="252" w:lineRule="auto"/>
        <w:ind w:firstLine="216"/>
        <w:jc w:val="both"/>
      </w:pPr>
      <w:r>
        <w:rPr>
          <w:rFonts w:ascii="Times New Roman" w:hAnsi="Times New Roman"/>
          <w:sz w:val="18"/>
        </w:rPr>
        <w:t>| Zhou et al. [17]     | Multiling. | GPT-4o, Claude, Gemini         | FraudSMSWalker (N~4,000)   | Recall: 64.16--90.13%       | Severe false alarms (benign recall collapsed to 12.8--30.2%)|</w:t>
      </w:r>
    </w:p>
    <w:p>
      <w:pPr>
        <w:spacing w:after="60" w:line="252" w:lineRule="auto"/>
        <w:ind w:firstLine="216"/>
        <w:jc w:val="both"/>
      </w:pPr>
      <w:r>
        <w:rPr>
          <w:rFonts w:ascii="Times New Roman" w:hAnsi="Times New Roman"/>
          <w:sz w:val="18"/>
        </w:rPr>
        <w:t>| Banda et al. [19]    | English    | Distilled SLM (Llama-3.2-3B)   | QR/Text Lures (N=4,200)    | Latency: 25.3--45 ms        | English only; non-trivial mobile memory footprint.          |</w:t>
      </w:r>
    </w:p>
    <w:p>
      <w:pPr>
        <w:spacing w:after="60" w:line="252" w:lineRule="auto"/>
        <w:ind w:firstLine="216"/>
        <w:jc w:val="both"/>
      </w:pPr>
      <w:r>
        <w:rPr>
          <w:rFonts w:ascii="Times New Roman" w:hAnsi="Times New Roman"/>
          <w:sz w:val="18"/>
        </w:rPr>
        <w:t>| Phap et al. [20]     | English    | BiGRU + MaskedPool + WBCE      | UCI &amp; LSDST (N=5,574)      | Latency: 0.25 ms            | Recurrent model on English; lacks self-attention context.   |</w:t>
      </w:r>
    </w:p>
    <w:p>
      <w:pPr>
        <w:spacing w:after="60" w:line="252" w:lineRule="auto"/>
        <w:ind w:firstLine="216"/>
        <w:jc w:val="both"/>
      </w:pPr>
      <w:r>
        <w:rPr>
          <w:rFonts w:ascii="Times New Roman" w:hAnsi="Times New Roman"/>
          <w:sz w:val="18"/>
        </w:rPr>
        <w:t>| This Work            | Vietnamese | Two-Tier: ViSoBERT + 3-Council | Unified SMS (N=2,664/384)  | Recall: 97.11%, FPR: 2.37%  | Pareto-optimal: 267.5 ms, 0.00% bank FPR, $0.0153/1k SMS.   |</w:t>
      </w:r>
    </w:p>
    <w:p>
      <w:pPr>
        <w:spacing w:after="60" w:line="252" w:lineRule="auto"/>
        <w:ind w:firstLine="216"/>
        <w:jc w:val="both"/>
      </w:pPr>
      <w:r>
        <w:rPr>
          <w:rFonts w:ascii="Times New Roman" w:hAnsi="Times New Roman"/>
          <w:sz w:val="18"/>
        </w:rPr>
        <w:t>+----------------------+------------+--------------------------------+----------------------------+-----------------------------+-------------------------------------------------------------+</w:t>
      </w:r>
    </w:p>
    <w:p>
      <w:pPr>
        <w:spacing w:before="120" w:after="80"/>
        <w:ind w:firstLine="0"/>
        <w:jc w:val="both"/>
      </w:pPr>
      <w:r>
        <w:rPr>
          <w:rFonts w:ascii="Times New Roman" w:hAnsi="Times New Roman"/>
          <w:i/>
          <w:sz w:val="16"/>
        </w:rPr>
        <w:t>Note: Reported metrics are extracted from corresponding publications evaluated on heterogeneous datasets, hardware environments, and task formulations; they illustrate comparative architectural paradigms rather than direct benchmark parity.`</w:t>
      </w:r>
    </w:p>
    <w:p>
      <w:pPr>
        <w:spacing w:before="240" w:after="80"/>
        <w:jc w:val="center"/>
      </w:pPr>
      <w:r>
        <w:rPr>
          <w:rFonts w:ascii="Times New Roman" w:hAnsi="Times New Roman"/>
          <w:b/>
          <w:sz w:val="20"/>
        </w:rPr>
        <w:t>III. MATERIALS AND METHODS</w:t>
      </w:r>
    </w:p>
    <w:p>
      <w:pPr>
        <w:spacing w:before="160" w:after="60"/>
      </w:pPr>
      <w:r>
        <w:rPr>
          <w:rFonts w:ascii="Times New Roman" w:hAnsi="Times New Roman"/>
          <w:b/>
          <w:sz w:val="19"/>
        </w:rPr>
        <w:t>A. Benchmark Dataset and Evaluation Partitions</w:t>
      </w:r>
    </w:p>
    <w:p>
      <w:pPr>
        <w:spacing w:after="60" w:line="252" w:lineRule="auto"/>
        <w:ind w:firstLine="216"/>
        <w:jc w:val="both"/>
      </w:pPr>
      <w:r>
        <w:rPr>
          <w:rFonts w:ascii="Times New Roman" w:hAnsi="Times New Roman"/>
          <w:sz w:val="18"/>
        </w:rPr>
        <w:t>To reflect authentic telecommunications threat distributions in Vietnam, we curated a unified corpus of $2,664$ genuine Vietnamese messages by merging verified public repositories, community reports from ChongLuaDao, and national cybersecurity warning feeds (`data/raw/vietnamese_sms_merged_all.csv`). The corpus consists of $1,918$ benign messages ($72.0\%$) and $746$ confirmed scam instances ($28.0\%$).</w:t>
      </w:r>
    </w:p>
    <w:p>
      <w:pPr>
        <w:spacing w:after="60" w:line="252" w:lineRule="auto"/>
        <w:ind w:firstLine="216"/>
        <w:jc w:val="both"/>
      </w:pPr>
      <w:r>
        <w:rPr>
          <w:rFonts w:ascii="Times New Roman" w:hAnsi="Times New Roman"/>
          <w:sz w:val="18"/>
        </w:rPr>
        <w:t>To ensure rigorous evaluation, we established two isolated testing partitions:</w:t>
      </w:r>
    </w:p>
    <w:p>
      <w:pPr>
        <w:spacing w:after="40"/>
        <w:ind w:left="288"/>
        <w:jc w:val="both"/>
      </w:pPr>
      <w:r>
        <w:rPr>
          <w:rFonts w:ascii="Times New Roman" w:hAnsi="Times New Roman"/>
          <w:sz w:val="18"/>
        </w:rPr>
        <w:t>1. **Frozen Test Partition ($N = 267$):** Generated via stratified sampling with a fixed random seed of 42 ($10\%$ holdout: $192$ Ham, $75$ Scam). This set was strictly isolated from training, hyperparameter optimization, and threshold tuning to benchmark standalone model performance.</w:t>
      </w:r>
    </w:p>
    <w:p>
      <w:pPr>
        <w:spacing w:after="40"/>
        <w:ind w:left="288"/>
        <w:jc w:val="both"/>
      </w:pPr>
      <w:r>
        <w:rPr>
          <w:rFonts w:ascii="Times New Roman" w:hAnsi="Times New Roman"/>
          <w:sz w:val="18"/>
        </w:rPr>
        <w:t>2. **Hard Forensic Challenge Suite ($N = 117$):** Curated to stress-test ambiguous decision boundaries, comprising $98$ adversarial scam lures (incorporating teencode obfuscation, non-financial urgency, and counterfeit brand headers) and $19$ legitimate banking OTPs and carrier service notifications.</w:t>
      </w:r>
    </w:p>
    <w:p>
      <w:pPr>
        <w:spacing w:after="40"/>
        <w:ind w:left="288"/>
        <w:jc w:val="both"/>
      </w:pPr>
      <w:r>
        <w:rPr>
          <w:rFonts w:ascii="Times New Roman" w:hAnsi="Times New Roman"/>
          <w:sz w:val="18"/>
        </w:rPr>
        <w:t>3. **Combined End-to-End Suite ($N = 384$):** Formed by merging the $N=267$ Frozen Test Set and the $N=117$ Forensic Suite to evaluate the full two-tier cascaded pipeline across both routine and adversarial traffic.</w:t>
      </w:r>
    </w:p>
    <w:p>
      <w:pPr>
        <w:spacing w:before="160" w:after="60"/>
      </w:pPr>
      <w:r>
        <w:rPr>
          <w:rFonts w:ascii="Times New Roman" w:hAnsi="Times New Roman"/>
          <w:b/>
          <w:sz w:val="19"/>
        </w:rPr>
        <w:t>B. Cost-Sensitive Loss Formulation ($\mathcal{L}_{\text{WBCE}}$)</w:t>
      </w:r>
    </w:p>
    <w:p>
      <w:pPr>
        <w:spacing w:after="60" w:line="252" w:lineRule="auto"/>
        <w:ind w:firstLine="216"/>
        <w:jc w:val="both"/>
      </w:pPr>
      <w:r>
        <w:rPr>
          <w:rFonts w:ascii="Times New Roman" w:hAnsi="Times New Roman"/>
          <w:sz w:val="18"/>
        </w:rPr>
        <w:t>In telecommunications security, binary classification error outcomes impose deeply asymmetric operational costs. Misclassifying a benign message as fraudulent (False Positive) causes transient annoyance, whereas failing to intercept an active smishing vector (False Negative) exposes subscribers to credential theft and financial fraud. Standard Binary Cross-Entropy (BCE) treats both errors symmetrically, driving decision boundaries toward the majority benign class.</w:t>
      </w:r>
    </w:p>
    <w:p>
      <w:pPr>
        <w:spacing w:after="60" w:line="252" w:lineRule="auto"/>
        <w:ind w:firstLine="216"/>
        <w:jc w:val="both"/>
      </w:pPr>
      <w:r>
        <w:rPr>
          <w:rFonts w:ascii="Times New Roman" w:hAnsi="Times New Roman"/>
          <w:sz w:val="18"/>
        </w:rPr>
        <w:t>To embed an explicit inductive bias favoring scam recall, we formulate the **Cost-Sensitive Weighted Binary Cross-Entropy Loss ($\mathcal{L}_{\text{WBCE}}$)**:</w:t>
      </w:r>
    </w:p>
    <w:p>
      <w:pPr>
        <w:spacing w:after="60" w:line="252" w:lineRule="auto"/>
        <w:ind w:firstLine="216"/>
        <w:jc w:val="both"/>
      </w:pPr>
      <w:r>
        <w:rPr>
          <w:rFonts w:ascii="Times New Roman" w:hAnsi="Times New Roman"/>
          <w:sz w:val="18"/>
        </w:rPr>
        <w:t>$$\mathcal{L}_{\text{WBCE}} = -\frac{1}{N} \sum_{i=1}^{N} \left[ \alpha \cdot y_i \log(\hat{y}_i) + (1 - y_i) \log(1 - \hat{y}_i) \right]$$</w:t>
      </w:r>
    </w:p>
    <w:p>
      <w:pPr>
        <w:spacing w:after="60" w:line="252" w:lineRule="auto"/>
        <w:ind w:firstLine="216"/>
        <w:jc w:val="both"/>
      </w:pPr>
      <w:r>
        <w:rPr>
          <w:rFonts w:ascii="Times New Roman" w:hAnsi="Times New Roman"/>
          <w:sz w:val="18"/>
        </w:rPr>
        <w:t>where $y_i \in \{0, 1\}$ represents the ground-truth binary label ($0 = \text{Ham}$, $1 = \text{Scam}$), $\hat{y}_i \in [0, 1]$ denotes the predicted sigmoid probability, and $\alpha &gt; 1$ represents the asymmetric cost penalty multiplier for False Negatives:</w:t>
      </w:r>
    </w:p>
    <w:p>
      <w:pPr>
        <w:spacing w:after="60" w:line="252" w:lineRule="auto"/>
        <w:ind w:firstLine="216"/>
        <w:jc w:val="both"/>
      </w:pPr>
      <w:r>
        <w:rPr>
          <w:rFonts w:ascii="Times New Roman" w:hAnsi="Times New Roman"/>
          <w:sz w:val="18"/>
        </w:rPr>
        <w:t>$$\frac{\partial \mathcal{L}_{\text{WBCE}}}{\partial z_i} = \begin{cases} \alpha (\hat{y}_i - 1), &amp; \text{if } y_i = 1 \text{ (False Negative penalty)} \\ \hat{y}_i, &amp; \text{if } y_i = 0 \text{ (False Positive penalty)} \end{cases}$$</w:t>
      </w:r>
    </w:p>
    <w:p>
      <w:pPr>
        <w:spacing w:after="60" w:line="252" w:lineRule="auto"/>
        <w:ind w:firstLine="216"/>
        <w:jc w:val="both"/>
      </w:pPr>
      <w:r>
        <w:rPr>
          <w:rFonts w:ascii="Times New Roman" w:hAnsi="Times New Roman"/>
          <w:sz w:val="18"/>
        </w:rPr>
        <w:t>In our implementation, we set $\alpha = 5.0$, exerting a 5-fold steeper gradient penalty whenever an authentic scam message is misclassified. Models were fine-tuned utilizing AdamW with an initial learning rate of $2\times 10^{-5}$, linear warmup ratio of $0.1$, weight decay of $0.01$, and batch size of 16 across 4 epochs under FP16 mixed precision.</w:t>
      </w:r>
    </w:p>
    <w:p>
      <w:pPr>
        <w:spacing w:before="160" w:after="60"/>
      </w:pPr>
      <w:r>
        <w:rPr>
          <w:rFonts w:ascii="Times New Roman" w:hAnsi="Times New Roman"/>
          <w:b/>
          <w:sz w:val="19"/>
        </w:rPr>
        <w:t>C. Model Architecture and ONNX Edge Quantization</w:t>
      </w:r>
    </w:p>
    <w:p>
      <w:pPr>
        <w:spacing w:after="60" w:line="252" w:lineRule="auto"/>
        <w:ind w:firstLine="216"/>
        <w:jc w:val="both"/>
      </w:pPr>
      <w:r>
        <w:rPr>
          <w:rFonts w:ascii="Times New Roman" w:hAnsi="Times New Roman"/>
          <w:sz w:val="18"/>
        </w:rPr>
        <w:t>ViSoBERT (`uitnlp/visobert`) [7] was chosen as our primary on-device edge encoder. Built upon the XLM-RoBERTa architecture, ViSoBERT comprises 12 transformer encoder layers, 768 hidden dimensions, 12 attention heads, and approximately 97.57M parameters (verified 97,566,721 parameters) paired with a custom vocabulary of 15,000 SentencePiece tokens pre-trained on a 1 GB corpus of uncompressed Vietnamese social media text.</w:t>
      </w:r>
    </w:p>
    <w:p>
      <w:pPr>
        <w:spacing w:after="60" w:line="252" w:lineRule="auto"/>
        <w:ind w:firstLine="216"/>
        <w:jc w:val="both"/>
      </w:pPr>
      <w:r>
        <w:rPr>
          <w:rFonts w:ascii="Times New Roman" w:hAnsi="Times New Roman"/>
          <w:sz w:val="18"/>
        </w:rPr>
        <w:t>To guarantee deterministic, sub-second execution on edge mobile processors without server dependencies, fine-tuned checkpoints were exported to Open Neural Network Exchange (ONNX) format with dynamic axes. The unquantized FP32 baseline occupies $390.54\text{ MB}$ ($372.45\text{ MiB}$), whereas dynamic INT8 quantization compresses the deployed model footprint (`visobert_tier1.onnx`) to $98.42\text{ MB}$ ($93.86\text{ MiB}$, achieving a $74.8\%$ reduction), delivering a median CPU inference latency of $70.7\text{ ms}$ ($70.66\text{ ms}$ median, $70.72 \pm 6.13\text{ ms}$ mean on desktop CPU threads) per message across the frozen test set.</w:t>
      </w:r>
    </w:p>
    <w:p>
      <w:pPr>
        <w:spacing w:before="160" w:after="60"/>
      </w:pPr>
      <w:r>
        <w:rPr>
          <w:rFonts w:ascii="Times New Roman" w:hAnsi="Times New Roman"/>
          <w:b/>
          <w:sz w:val="19"/>
        </w:rPr>
        <w:t>D. Two-Tier Cascaded System Routing</w:t>
      </w:r>
    </w:p>
    <w:p>
      <w:pPr>
        <w:spacing w:after="60" w:line="252" w:lineRule="auto"/>
        <w:ind w:firstLine="216"/>
        <w:jc w:val="both"/>
      </w:pPr>
      <w:r>
        <w:rPr>
          <w:rFonts w:ascii="Times New Roman" w:hAnsi="Times New Roman"/>
          <w:sz w:val="18"/>
        </w:rPr>
        <w:t>To reconcile edge real-time throughput with cloud-scale semantic reasoning, ScamShield-VN implements a confidence-governed two-tier cascade:</w:t>
      </w:r>
    </w:p>
    <w:p>
      <w:pPr>
        <w:spacing w:after="60" w:line="252" w:lineRule="auto"/>
        <w:ind w:firstLine="216"/>
        <w:jc w:val="both"/>
      </w:pPr>
      <w:r>
        <w:rPr>
          <w:rFonts w:ascii="Times New Roman" w:hAnsi="Times New Roman"/>
          <w:sz w:val="18"/>
        </w:rPr>
        <w:t>$$\text{Route}(x) = \begin{cases} \text{Tier 1 Edge Verdict}, &amp; \text{if } \max(P_{\text{T1}}, 1 - P_{\text{T1}}) \ge \tau \\ \text{Tier 2 Council Escalation}, &amp; \text{if } \max(P_{\text{T1}}, 1 - P_{\text{T1}}) &lt; \tau \end{cases}$$</w:t>
      </w:r>
    </w:p>
    <w:p>
      <w:pPr>
        <w:spacing w:after="60" w:line="252" w:lineRule="auto"/>
        <w:ind w:firstLine="216"/>
        <w:jc w:val="both"/>
      </w:pPr>
      <w:r>
        <w:rPr>
          <w:rFonts w:ascii="Times New Roman" w:hAnsi="Times New Roman"/>
          <w:sz w:val="18"/>
        </w:rPr>
        <w:t>where $P_{\text{T1}} = P(\hat{y}=1|x)$ is the calibrated scam probability produced by ViSoBERT, and $\tau = 0.90$ is the operational confidence routing threshold. Messages with $\max(P_{\text{T1}}, 1 - P_{\text{T1}}) \ge 0.90$ exit immediately via the fast path ($&lt;100\text{ ms}$, median $70.7\text{ ms}$, cost $\$0.00$), while ambiguous edge cases ($P_{\text{T1}} \in (0.10, 0.90)$) escalate to Tier 2.</w:t>
      </w:r>
    </w:p>
    <w:p>
      <w:pPr>
        <w:spacing w:before="160" w:after="60"/>
      </w:pPr>
      <w:r>
        <w:rPr>
          <w:rFonts w:ascii="Times New Roman" w:hAnsi="Times New Roman"/>
          <w:b/>
          <w:sz w:val="19"/>
        </w:rPr>
        <w:t>E. Consolidated 3-Agent Multi-LLM Forensic Council</w:t>
      </w:r>
    </w:p>
    <w:p>
      <w:pPr>
        <w:spacing w:after="60" w:line="252" w:lineRule="auto"/>
        <w:ind w:firstLine="216"/>
        <w:jc w:val="both"/>
      </w:pPr>
      <w:r>
        <w:rPr>
          <w:rFonts w:ascii="Times New Roman" w:hAnsi="Times New Roman"/>
          <w:sz w:val="18"/>
        </w:rPr>
        <w:t>Tier 2 deploys a consolidated 3-agent forensic council powered by frontier LLMs (`gpt-6.1-sol` / `gemini-3.8-flash`). Guided by principles of model parsimony, the council consolidates redundant roles into three specialized seats:</w:t>
      </w:r>
    </w:p>
    <w:p>
      <w:pPr>
        <w:pStyle w:val="ListBullet"/>
        <w:spacing w:after="40"/>
        <w:jc w:val="both"/>
      </w:pPr>
      <w:r>
        <w:rPr>
          <w:rFonts w:ascii="Times New Roman" w:hAnsi="Times New Roman"/>
          <w:sz w:val="18"/>
        </w:rPr>
        <w:t>**Seat A (Cyber Threat &amp; Banking Specialist, $w_A = 0.35$):** Analyzes technical indicators, domain registration recency, typosquatting URLs, and spoofed banking headers.</w:t>
      </w:r>
    </w:p>
    <w:p>
      <w:pPr>
        <w:pStyle w:val="ListBullet"/>
        <w:spacing w:after="40"/>
        <w:jc w:val="both"/>
      </w:pPr>
      <w:r>
        <w:rPr>
          <w:rFonts w:ascii="Times New Roman" w:hAnsi="Times New Roman"/>
          <w:sz w:val="18"/>
        </w:rPr>
        <w:t>**Seat B (Psycholinguistic &amp; Social Slang Specialist, $w_B = 0.35$):** Evaluates psychological persuasion levers (urgency, panic, greed, authority cues) and informal Vietnamese teencode obfuscations.</w:t>
      </w:r>
    </w:p>
    <w:p>
      <w:pPr>
        <w:pStyle w:val="ListBullet"/>
        <w:spacing w:after="40"/>
        <w:jc w:val="both"/>
      </w:pPr>
      <w:r>
        <w:rPr>
          <w:rFonts w:ascii="Times New Roman" w:hAnsi="Times New Roman"/>
          <w:sz w:val="18"/>
        </w:rPr>
        <w:t>**Seat C (Public Defender Advocate, $w_C = 0.30$):** Serves as an adversarial counterweight tasked exclusively with discovering legitimate brand indicators, standard OTP notification syntaxes, and genuine merchant protocols.</w:t>
      </w:r>
    </w:p>
    <w:p>
      <w:pPr>
        <w:spacing w:after="60" w:line="252" w:lineRule="auto"/>
        <w:ind w:firstLine="216"/>
        <w:jc w:val="both"/>
      </w:pPr>
      <w:r>
        <w:rPr>
          <w:rFonts w:ascii="Times New Roman" w:hAnsi="Times New Roman"/>
          <w:sz w:val="18"/>
        </w:rPr>
        <w:t>The council aggregates specialist probability estimates $P_j$ into a synthesized score:</w:t>
      </w:r>
    </w:p>
    <w:p>
      <w:pPr>
        <w:spacing w:after="60" w:line="252" w:lineRule="auto"/>
        <w:ind w:firstLine="216"/>
        <w:jc w:val="both"/>
      </w:pPr>
      <w:r>
        <w:rPr>
          <w:rFonts w:ascii="Times New Roman" w:hAnsi="Times New Roman"/>
          <w:sz w:val="18"/>
        </w:rPr>
        <w:t>$$P_{\text{council}} = \sum_{j \in \{A, B, C\}} w_j P_j - \delta_{\text{defender}}$$</w:t>
      </w:r>
    </w:p>
    <w:p>
      <w:pPr>
        <w:spacing w:after="60" w:line="252" w:lineRule="auto"/>
        <w:ind w:firstLine="216"/>
        <w:jc w:val="both"/>
      </w:pPr>
      <w:r>
        <w:rPr>
          <w:rFonts w:ascii="Times New Roman" w:hAnsi="Times New Roman"/>
          <w:sz w:val="18"/>
        </w:rPr>
        <w:t>where $\delta_{\text{defender}} = 0.25$ is an explicit veto penalty activated if the Public Defender verifies legitimate institutional transaction syntax, directly suppressing false alarms on sensitive banking alerts.</w:t>
      </w:r>
    </w:p>
    <w:p>
      <w:pPr>
        <w:spacing w:before="160" w:after="60"/>
      </w:pPr>
      <w:r>
        <w:rPr>
          <w:rFonts w:ascii="Times New Roman" w:hAnsi="Times New Roman"/>
          <w:b/>
          <w:sz w:val="19"/>
        </w:rPr>
        <w:t>F. Standardized 3-Label Output Schema and Privacy Compliance</w:t>
      </w:r>
    </w:p>
    <w:p>
      <w:pPr>
        <w:spacing w:after="60" w:line="252" w:lineRule="auto"/>
        <w:ind w:firstLine="216"/>
        <w:jc w:val="both"/>
      </w:pPr>
      <w:r>
        <w:rPr>
          <w:rFonts w:ascii="Times New Roman" w:hAnsi="Times New Roman"/>
          <w:sz w:val="18"/>
        </w:rPr>
        <w:t>To adhere to safety-first principles aligned with Article 25 of Vietnamese Decree 13/2023/ND-CP (Personal Data Protection) and avoid forced binary misclassifications on uncertain samples, ScamShield-VN standardizes final verdicts into three distinct categories:</w:t>
      </w:r>
    </w:p>
    <w:p>
      <w:pPr>
        <w:spacing w:after="60" w:line="252" w:lineRule="auto"/>
        <w:ind w:firstLine="216"/>
        <w:jc w:val="both"/>
      </w:pPr>
      <w:r>
        <w:rPr>
          <w:rFonts w:ascii="Times New Roman" w:hAnsi="Times New Roman"/>
          <w:sz w:val="18"/>
        </w:rPr>
        <w:t>$$</w:t>
      </w:r>
    </w:p>
    <w:p>
      <w:pPr>
        <w:spacing w:after="60" w:line="252" w:lineRule="auto"/>
        <w:ind w:firstLine="216"/>
        <w:jc w:val="both"/>
      </w:pPr>
      <w:r>
        <w:rPr>
          <w:rFonts w:ascii="Times New Roman" w:hAnsi="Times New Roman"/>
          <w:sz w:val="18"/>
        </w:rPr>
        <w:t>\text{Verdict} = \begin{cases}</w:t>
      </w:r>
    </w:p>
    <w:p>
      <w:pPr>
        <w:spacing w:after="60" w:line="252" w:lineRule="auto"/>
        <w:ind w:firstLine="216"/>
        <w:jc w:val="both"/>
      </w:pPr>
      <w:r>
        <w:rPr>
          <w:rFonts w:ascii="Times New Roman" w:hAnsi="Times New Roman"/>
          <w:sz w:val="18"/>
        </w:rPr>
        <w:t>\textbf{SCAM-RISK}, &amp; \text{if } P_{\text{council}} \ge 0.60 \\</w:t>
      </w:r>
    </w:p>
    <w:p>
      <w:pPr>
        <w:spacing w:after="60" w:line="252" w:lineRule="auto"/>
        <w:ind w:firstLine="216"/>
        <w:jc w:val="both"/>
      </w:pPr>
      <w:r>
        <w:rPr>
          <w:rFonts w:ascii="Times New Roman" w:hAnsi="Times New Roman"/>
          <w:sz w:val="18"/>
        </w:rPr>
        <w:t>\textbf{LOW-RISK}, &amp; \text{if } P_{\text{council}} &lt; 0.40 \\</w:t>
      </w:r>
    </w:p>
    <w:p>
      <w:pPr>
        <w:spacing w:after="60" w:line="252" w:lineRule="auto"/>
        <w:ind w:firstLine="216"/>
        <w:jc w:val="both"/>
      </w:pPr>
      <w:r>
        <w:rPr>
          <w:rFonts w:ascii="Times New Roman" w:hAnsi="Times New Roman"/>
          <w:sz w:val="18"/>
        </w:rPr>
        <w:t>\textbf{UNKNOWN}, &amp; \text{if } 0.40 \le P_{\text{council}} &lt; 0.60</w:t>
      </w:r>
    </w:p>
    <w:p>
      <w:pPr>
        <w:spacing w:after="60" w:line="252" w:lineRule="auto"/>
        <w:ind w:firstLine="216"/>
        <w:jc w:val="both"/>
      </w:pPr>
      <w:r>
        <w:rPr>
          <w:rFonts w:ascii="Times New Roman" w:hAnsi="Times New Roman"/>
          <w:sz w:val="18"/>
        </w:rPr>
        <w:t>\end{cases}</w:t>
      </w:r>
    </w:p>
    <w:p>
      <w:pPr>
        <w:spacing w:after="60" w:line="252" w:lineRule="auto"/>
        <w:ind w:firstLine="216"/>
        <w:jc w:val="both"/>
      </w:pPr>
      <w:r>
        <w:rPr>
          <w:rFonts w:ascii="Times New Roman" w:hAnsi="Times New Roman"/>
          <w:sz w:val="18"/>
        </w:rPr>
        <w:t>$$</w:t>
      </w:r>
    </w:p>
    <w:p>
      <w:pPr>
        <w:spacing w:after="60" w:line="252" w:lineRule="auto"/>
        <w:ind w:firstLine="216"/>
        <w:jc w:val="both"/>
      </w:pPr>
      <w:r>
        <w:rPr>
          <w:rFonts w:ascii="Times New Roman" w:hAnsi="Times New Roman"/>
          <w:sz w:val="18"/>
        </w:rPr>
        <w:t>Messages flagged as **UNKNOWN** indicate an ambiguous boundary requiring user verification or asynchronous human audit, safeguarding users against uncalibrated automated decisions. Furthermore, per technical privacy safeguards, all message payloads undergo client-side PII tokenization (redacting phone numbers, account balances, and citizen IDs) prior to cloud escalation; formal regulatory compliance with Decree 13/2023/ND-CP was not assessed by legal counsel.</w:t>
      </w:r>
    </w:p>
    <w:p>
      <w:pPr>
        <w:spacing w:before="160" w:after="60"/>
      </w:pPr>
      <w:r>
        <w:rPr>
          <w:rFonts w:ascii="Times New Roman" w:hAnsi="Times New Roman"/>
          <w:b/>
          <w:sz w:val="19"/>
        </w:rPr>
        <w:t>G. Statistical Significance Testing Protocol</w:t>
      </w:r>
    </w:p>
    <w:p>
      <w:pPr>
        <w:spacing w:after="60" w:line="252" w:lineRule="auto"/>
        <w:ind w:firstLine="216"/>
        <w:jc w:val="both"/>
      </w:pPr>
      <w:r>
        <w:rPr>
          <w:rFonts w:ascii="Times New Roman" w:hAnsi="Times New Roman"/>
          <w:sz w:val="18"/>
        </w:rPr>
        <w:t>To evaluate paired differences between classifiers evaluated on the identical test partitions, we perform two-tailed **McNemar's tests** with continuity correction ($\alpha = 0.05$):</w:t>
      </w:r>
    </w:p>
    <w:p>
      <w:pPr>
        <w:spacing w:after="60" w:line="252" w:lineRule="auto"/>
        <w:ind w:firstLine="216"/>
        <w:jc w:val="both"/>
      </w:pPr>
      <w:r>
        <w:rPr>
          <w:rFonts w:ascii="Times New Roman" w:hAnsi="Times New Roman"/>
          <w:sz w:val="18"/>
        </w:rPr>
        <w:t>$$\chi^2_{\text{cont}} = \frac{(|b - c| - 1)^2}{b + c}$$</w:t>
      </w:r>
    </w:p>
    <w:p>
      <w:pPr>
        <w:spacing w:after="60" w:line="252" w:lineRule="auto"/>
        <w:ind w:firstLine="216"/>
        <w:jc w:val="both"/>
      </w:pPr>
      <w:r>
        <w:rPr>
          <w:rFonts w:ascii="Times New Roman" w:hAnsi="Times New Roman"/>
          <w:sz w:val="18"/>
        </w:rPr>
        <w:t>where $b$ is the number of samples correctly classified exclusively by the proposed model, and $c$ is the number of samples correctly classified exclusively by the comparative baseline. We test the null hypothesis $H_0$ ($p \ge 0.05$, no difference) against $H_1$ ($p &lt; 0.05$, statistically significant difference).</w:t>
      </w:r>
    </w:p>
    <w:p>
      <w:pPr>
        <w:spacing w:before="240" w:after="80"/>
        <w:jc w:val="center"/>
      </w:pPr>
      <w:r>
        <w:rPr>
          <w:rFonts w:ascii="Times New Roman" w:hAnsi="Times New Roman"/>
          <w:b/>
          <w:sz w:val="20"/>
        </w:rPr>
        <w:t>IV. RESULT AND DISCUSSION</w:t>
      </w:r>
    </w:p>
    <w:p>
      <w:pPr>
        <w:spacing w:before="160" w:after="60"/>
      </w:pPr>
      <w:r>
        <w:rPr>
          <w:rFonts w:ascii="Times New Roman" w:hAnsi="Times New Roman"/>
          <w:b/>
          <w:sz w:val="19"/>
        </w:rPr>
        <w:t>A. Tier 1 Edge Screener Performance on Frozen Benchmark</w:t>
      </w:r>
    </w:p>
    <w:p>
      <w:pPr>
        <w:spacing w:after="60" w:line="252" w:lineRule="auto"/>
        <w:ind w:firstLine="216"/>
        <w:jc w:val="both"/>
      </w:pPr>
      <w:r>
        <w:rPr>
          <w:rFonts w:ascii="Times New Roman" w:hAnsi="Times New Roman"/>
          <w:sz w:val="18"/>
        </w:rPr>
        <w:t>TABLE II presents empirical results aggregated over $K = 5$ independent deterministic random seeds ($\text{SEEDS} = [42, 100, 123, 999, 2026]$) on the isolated Frozen Test partition ($N = 267$).</w:t>
      </w:r>
    </w:p>
    <w:p>
      <w:pPr>
        <w:spacing w:before="160" w:after="60"/>
        <w:jc w:val="center"/>
      </w:pPr>
      <w:r>
        <w:rPr>
          <w:rFonts w:ascii="Times New Roman" w:hAnsi="Times New Roman"/>
          <w:b/>
          <w:sz w:val="17"/>
        </w:rPr>
        <w:t>TABLE II. EMPIRICAL BENCHMARK ACROSS 5 INDEPENDENT RUNS ON THE FROZEN TEST SET (N=267 SAMPLES: 192 HAM, 75 SCAM)</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pPr>
              <w:jc w:val="center"/>
            </w:pPr>
            <w:r>
              <w:rPr>
                <w:rFonts w:ascii="Times New Roman" w:hAnsi="Times New Roman"/>
                <w:b/>
                <w:sz w:val="15"/>
              </w:rPr>
              <w:t>Model Configuration</w:t>
            </w:r>
          </w:p>
        </w:tc>
        <w:tc>
          <w:tcPr>
            <w:tcW w:type="dxa" w:w="1260"/>
          </w:tcPr>
          <w:p>
            <w:pPr>
              <w:jc w:val="center"/>
            </w:pPr>
            <w:r>
              <w:rPr>
                <w:rFonts w:ascii="Times New Roman" w:hAnsi="Times New Roman"/>
                <w:b/>
                <w:sz w:val="15"/>
              </w:rPr>
              <w:t>Role / Category</w:t>
            </w:r>
          </w:p>
        </w:tc>
        <w:tc>
          <w:tcPr>
            <w:tcW w:type="dxa" w:w="1260"/>
          </w:tcPr>
          <w:p>
            <w:pPr>
              <w:jc w:val="center"/>
            </w:pPr>
            <w:r>
              <w:rPr>
                <w:rFonts w:ascii="Times New Roman" w:hAnsi="Times New Roman"/>
                <w:b/>
                <w:sz w:val="15"/>
              </w:rPr>
              <w:t>Parameters</w:t>
            </w:r>
          </w:p>
        </w:tc>
        <w:tc>
          <w:tcPr>
            <w:tcW w:type="dxa" w:w="1260"/>
          </w:tcPr>
          <w:p>
            <w:pPr>
              <w:jc w:val="center"/>
            </w:pPr>
            <w:r>
              <w:rPr>
                <w:rFonts w:ascii="Times New Roman" w:hAnsi="Times New Roman"/>
                <w:b/>
                <w:sz w:val="15"/>
              </w:rPr>
              <w:t>Accuracy (%)</w:t>
            </w:r>
          </w:p>
        </w:tc>
        <w:tc>
          <w:tcPr>
            <w:tcW w:type="dxa" w:w="1260"/>
          </w:tcPr>
          <w:p>
            <w:pPr>
              <w:jc w:val="center"/>
            </w:pPr>
            <w:r>
              <w:rPr>
                <w:rFonts w:ascii="Times New Roman" w:hAnsi="Times New Roman"/>
                <w:b/>
                <w:sz w:val="15"/>
              </w:rPr>
              <w:t>Precision (%)</w:t>
            </w:r>
          </w:p>
        </w:tc>
        <w:tc>
          <w:tcPr>
            <w:tcW w:type="dxa" w:w="1260"/>
          </w:tcPr>
          <w:p>
            <w:pPr>
              <w:jc w:val="center"/>
            </w:pPr>
            <w:r>
              <w:rPr>
                <w:rFonts w:ascii="Times New Roman" w:hAnsi="Times New Roman"/>
                <w:b/>
                <w:sz w:val="15"/>
              </w:rPr>
              <w:t>Scam Recall (%)</w:t>
            </w:r>
          </w:p>
        </w:tc>
        <w:tc>
          <w:tcPr>
            <w:tcW w:type="dxa" w:w="1260"/>
          </w:tcPr>
          <w:p>
            <w:pPr>
              <w:jc w:val="center"/>
            </w:pPr>
            <w:r>
              <w:rPr>
                <w:rFonts w:ascii="Times New Roman" w:hAnsi="Times New Roman"/>
                <w:b/>
                <w:sz w:val="15"/>
              </w:rPr>
              <w:t>Macro-F1 (%)</w:t>
            </w:r>
          </w:p>
        </w:tc>
        <w:tc>
          <w:tcPr>
            <w:tcW w:type="dxa" w:w="1260"/>
          </w:tcPr>
          <w:p>
            <w:pPr>
              <w:jc w:val="center"/>
            </w:pPr>
            <w:r>
              <w:rPr>
                <w:rFonts w:ascii="Times New Roman" w:hAnsi="Times New Roman"/>
                <w:b/>
                <w:sz w:val="15"/>
              </w:rPr>
              <w:t>Model Size</w:t>
            </w:r>
          </w:p>
        </w:tc>
      </w:tr>
      <w:tr>
        <w:tc>
          <w:tcPr>
            <w:tcW w:type="dxa" w:w="1260"/>
          </w:tcPr>
          <w:p>
            <w:pPr>
              <w:jc w:val="center"/>
            </w:pPr>
            <w:r>
              <w:rPr>
                <w:rFonts w:ascii="Times New Roman" w:hAnsi="Times New Roman"/>
                <w:sz w:val="15"/>
              </w:rPr>
              <w:t>ViSoBERT + WBCE (alpha=5.0)</w:t>
            </w:r>
          </w:p>
        </w:tc>
        <w:tc>
          <w:tcPr>
            <w:tcW w:type="dxa" w:w="1260"/>
          </w:tcPr>
          <w:p>
            <w:pPr>
              <w:jc w:val="center"/>
            </w:pPr>
            <w:r>
              <w:rPr>
                <w:rFonts w:ascii="Times New Roman" w:hAnsi="Times New Roman"/>
                <w:sz w:val="15"/>
              </w:rPr>
              <w:t>Proposed (Tier 1 Edge)</w:t>
            </w:r>
          </w:p>
        </w:tc>
        <w:tc>
          <w:tcPr>
            <w:tcW w:type="dxa" w:w="1260"/>
          </w:tcPr>
          <w:p>
            <w:pPr>
              <w:jc w:val="center"/>
            </w:pPr>
            <w:r>
              <w:rPr>
                <w:rFonts w:ascii="Times New Roman" w:hAnsi="Times New Roman"/>
                <w:sz w:val="15"/>
              </w:rPr>
              <w:t>97.57M</w:t>
            </w:r>
          </w:p>
        </w:tc>
        <w:tc>
          <w:tcPr>
            <w:tcW w:type="dxa" w:w="1260"/>
          </w:tcPr>
          <w:p>
            <w:pPr>
              <w:jc w:val="center"/>
            </w:pPr>
            <w:r>
              <w:rPr>
                <w:rFonts w:ascii="Times New Roman" w:hAnsi="Times New Roman"/>
                <w:sz w:val="15"/>
              </w:rPr>
              <w:t>95.65 +/- 1.54</w:t>
            </w:r>
          </w:p>
        </w:tc>
        <w:tc>
          <w:tcPr>
            <w:tcW w:type="dxa" w:w="1260"/>
          </w:tcPr>
          <w:p>
            <w:pPr>
              <w:jc w:val="center"/>
            </w:pPr>
            <w:r>
              <w:rPr>
                <w:rFonts w:ascii="Times New Roman" w:hAnsi="Times New Roman"/>
                <w:sz w:val="15"/>
              </w:rPr>
              <w:t>89.79 +/- 5.15</w:t>
            </w:r>
          </w:p>
        </w:tc>
        <w:tc>
          <w:tcPr>
            <w:tcW w:type="dxa" w:w="1260"/>
          </w:tcPr>
          <w:p>
            <w:pPr>
              <w:jc w:val="center"/>
            </w:pPr>
            <w:r>
              <w:rPr>
                <w:rFonts w:ascii="Times New Roman" w:hAnsi="Times New Roman"/>
                <w:sz w:val="15"/>
              </w:rPr>
              <w:t>95.64 +/- 2.04</w:t>
            </w:r>
          </w:p>
        </w:tc>
        <w:tc>
          <w:tcPr>
            <w:tcW w:type="dxa" w:w="1260"/>
          </w:tcPr>
          <w:p>
            <w:pPr>
              <w:jc w:val="center"/>
            </w:pPr>
            <w:r>
              <w:rPr>
                <w:rFonts w:ascii="Times New Roman" w:hAnsi="Times New Roman"/>
                <w:sz w:val="15"/>
              </w:rPr>
              <w:t>92.51 +/- 2.39</w:t>
            </w:r>
          </w:p>
        </w:tc>
        <w:tc>
          <w:tcPr>
            <w:tcW w:type="dxa" w:w="1260"/>
          </w:tcPr>
          <w:p>
            <w:pPr>
              <w:jc w:val="center"/>
            </w:pPr>
            <w:r>
              <w:rPr>
                <w:rFonts w:ascii="Times New Roman" w:hAnsi="Times New Roman"/>
                <w:sz w:val="15"/>
              </w:rPr>
              <w:t>98.42 MB</w:t>
            </w:r>
          </w:p>
        </w:tc>
      </w:tr>
      <w:tr>
        <w:tc>
          <w:tcPr>
            <w:tcW w:type="dxa" w:w="1260"/>
          </w:tcPr>
          <w:p>
            <w:pPr>
              <w:jc w:val="center"/>
            </w:pPr>
            <w:r>
              <w:rPr>
                <w:rFonts w:ascii="Times New Roman" w:hAnsi="Times New Roman"/>
                <w:sz w:val="15"/>
              </w:rPr>
              <w:t>PhoBERT-large</w:t>
            </w:r>
          </w:p>
        </w:tc>
        <w:tc>
          <w:tcPr>
            <w:tcW w:type="dxa" w:w="1260"/>
          </w:tcPr>
          <w:p>
            <w:pPr>
              <w:jc w:val="center"/>
            </w:pPr>
            <w:r>
              <w:rPr>
                <w:rFonts w:ascii="Times New Roman" w:hAnsi="Times New Roman"/>
                <w:sz w:val="15"/>
              </w:rPr>
              <w:t>Baseline B2.3 (370M)</w:t>
            </w:r>
          </w:p>
        </w:tc>
        <w:tc>
          <w:tcPr>
            <w:tcW w:type="dxa" w:w="1260"/>
          </w:tcPr>
          <w:p>
            <w:pPr>
              <w:jc w:val="center"/>
            </w:pPr>
            <w:r>
              <w:rPr>
                <w:rFonts w:ascii="Times New Roman" w:hAnsi="Times New Roman"/>
                <w:sz w:val="15"/>
              </w:rPr>
              <w:t>370M</w:t>
            </w:r>
          </w:p>
        </w:tc>
        <w:tc>
          <w:tcPr>
            <w:tcW w:type="dxa" w:w="1260"/>
          </w:tcPr>
          <w:p>
            <w:pPr>
              <w:jc w:val="center"/>
            </w:pPr>
            <w:r>
              <w:rPr>
                <w:rFonts w:ascii="Times New Roman" w:hAnsi="Times New Roman"/>
                <w:sz w:val="15"/>
              </w:rPr>
              <w:t>95.95 +/- 1.57</w:t>
            </w:r>
          </w:p>
        </w:tc>
        <w:tc>
          <w:tcPr>
            <w:tcW w:type="dxa" w:w="1260"/>
          </w:tcPr>
          <w:p>
            <w:pPr>
              <w:jc w:val="center"/>
            </w:pPr>
            <w:r>
              <w:rPr>
                <w:rFonts w:ascii="Times New Roman" w:hAnsi="Times New Roman"/>
                <w:sz w:val="15"/>
              </w:rPr>
              <w:t>93.13 +/- 3.17</w:t>
            </w:r>
          </w:p>
        </w:tc>
        <w:tc>
          <w:tcPr>
            <w:tcW w:type="dxa" w:w="1260"/>
          </w:tcPr>
          <w:p>
            <w:pPr>
              <w:jc w:val="center"/>
            </w:pPr>
            <w:r>
              <w:rPr>
                <w:rFonts w:ascii="Times New Roman" w:hAnsi="Times New Roman"/>
                <w:sz w:val="15"/>
              </w:rPr>
              <w:t>92.33 +/- 3.44</w:t>
            </w:r>
          </w:p>
        </w:tc>
        <w:tc>
          <w:tcPr>
            <w:tcW w:type="dxa" w:w="1260"/>
          </w:tcPr>
          <w:p>
            <w:pPr>
              <w:jc w:val="center"/>
            </w:pPr>
            <w:r>
              <w:rPr>
                <w:rFonts w:ascii="Times New Roman" w:hAnsi="Times New Roman"/>
                <w:sz w:val="15"/>
              </w:rPr>
              <w:t>92.70 +/- 2.87</w:t>
            </w:r>
          </w:p>
        </w:tc>
        <w:tc>
          <w:tcPr>
            <w:tcW w:type="dxa" w:w="1260"/>
          </w:tcPr>
          <w:p>
            <w:pPr>
              <w:jc w:val="center"/>
            </w:pPr>
            <w:r>
              <w:rPr>
                <w:rFonts w:ascii="Times New Roman" w:hAnsi="Times New Roman"/>
                <w:sz w:val="15"/>
              </w:rPr>
              <w:t>1,480 MB</w:t>
            </w:r>
          </w:p>
        </w:tc>
      </w:tr>
      <w:tr>
        <w:tc>
          <w:tcPr>
            <w:tcW w:type="dxa" w:w="1260"/>
          </w:tcPr>
          <w:p>
            <w:pPr>
              <w:jc w:val="center"/>
            </w:pPr>
            <w:r>
              <w:rPr>
                <w:rFonts w:ascii="Times New Roman" w:hAnsi="Times New Roman"/>
                <w:sz w:val="15"/>
              </w:rPr>
              <w:t>FPT ViBERT-base</w:t>
            </w:r>
          </w:p>
        </w:tc>
        <w:tc>
          <w:tcPr>
            <w:tcW w:type="dxa" w:w="1260"/>
          </w:tcPr>
          <w:p>
            <w:pPr>
              <w:jc w:val="center"/>
            </w:pPr>
            <w:r>
              <w:rPr>
                <w:rFonts w:ascii="Times New Roman" w:hAnsi="Times New Roman"/>
                <w:sz w:val="15"/>
              </w:rPr>
              <w:t>Baseline B2.2</w:t>
            </w:r>
          </w:p>
        </w:tc>
        <w:tc>
          <w:tcPr>
            <w:tcW w:type="dxa" w:w="1260"/>
          </w:tcPr>
          <w:p>
            <w:pPr>
              <w:jc w:val="center"/>
            </w:pPr>
            <w:r>
              <w:rPr>
                <w:rFonts w:ascii="Times New Roman" w:hAnsi="Times New Roman"/>
                <w:sz w:val="15"/>
              </w:rPr>
              <w:t>124M</w:t>
            </w:r>
          </w:p>
        </w:tc>
        <w:tc>
          <w:tcPr>
            <w:tcW w:type="dxa" w:w="1260"/>
          </w:tcPr>
          <w:p>
            <w:pPr>
              <w:jc w:val="center"/>
            </w:pPr>
            <w:r>
              <w:rPr>
                <w:rFonts w:ascii="Times New Roman" w:hAnsi="Times New Roman"/>
                <w:sz w:val="15"/>
              </w:rPr>
              <w:t>95.04 +/- 1.11</w:t>
            </w:r>
          </w:p>
        </w:tc>
        <w:tc>
          <w:tcPr>
            <w:tcW w:type="dxa" w:w="1260"/>
          </w:tcPr>
          <w:p>
            <w:pPr>
              <w:jc w:val="center"/>
            </w:pPr>
            <w:r>
              <w:rPr>
                <w:rFonts w:ascii="Times New Roman" w:hAnsi="Times New Roman"/>
                <w:sz w:val="15"/>
              </w:rPr>
              <w:t>90.10 +/- 4.12</w:t>
            </w:r>
          </w:p>
        </w:tc>
        <w:tc>
          <w:tcPr>
            <w:tcW w:type="dxa" w:w="1260"/>
          </w:tcPr>
          <w:p>
            <w:pPr>
              <w:jc w:val="center"/>
            </w:pPr>
            <w:r>
              <w:rPr>
                <w:rFonts w:ascii="Times New Roman" w:hAnsi="Times New Roman"/>
                <w:sz w:val="15"/>
              </w:rPr>
              <w:t>92.60 +/- 2.84</w:t>
            </w:r>
          </w:p>
        </w:tc>
        <w:tc>
          <w:tcPr>
            <w:tcW w:type="dxa" w:w="1260"/>
          </w:tcPr>
          <w:p>
            <w:pPr>
              <w:jc w:val="center"/>
            </w:pPr>
            <w:r>
              <w:rPr>
                <w:rFonts w:ascii="Times New Roman" w:hAnsi="Times New Roman"/>
                <w:sz w:val="15"/>
              </w:rPr>
              <w:t>91.25 +/- 1.81</w:t>
            </w:r>
          </w:p>
        </w:tc>
        <w:tc>
          <w:tcPr>
            <w:tcW w:type="dxa" w:w="1260"/>
          </w:tcPr>
          <w:p>
            <w:pPr>
              <w:jc w:val="center"/>
            </w:pPr>
            <w:r>
              <w:rPr>
                <w:rFonts w:ascii="Times New Roman" w:hAnsi="Times New Roman"/>
                <w:sz w:val="15"/>
              </w:rPr>
              <w:t>480 MB</w:t>
            </w:r>
          </w:p>
        </w:tc>
      </w:tr>
      <w:tr>
        <w:tc>
          <w:tcPr>
            <w:tcW w:type="dxa" w:w="1260"/>
          </w:tcPr>
          <w:p>
            <w:pPr>
              <w:jc w:val="center"/>
            </w:pPr>
            <w:r>
              <w:rPr>
                <w:rFonts w:ascii="Times New Roman" w:hAnsi="Times New Roman"/>
                <w:sz w:val="15"/>
              </w:rPr>
              <w:t>PhoBERT-base-v2</w:t>
            </w:r>
          </w:p>
        </w:tc>
        <w:tc>
          <w:tcPr>
            <w:tcW w:type="dxa" w:w="1260"/>
          </w:tcPr>
          <w:p>
            <w:pPr>
              <w:jc w:val="center"/>
            </w:pPr>
            <w:r>
              <w:rPr>
                <w:rFonts w:ascii="Times New Roman" w:hAnsi="Times New Roman"/>
                <w:sz w:val="15"/>
              </w:rPr>
              <w:t>Baseline B2.1</w:t>
            </w:r>
          </w:p>
        </w:tc>
        <w:tc>
          <w:tcPr>
            <w:tcW w:type="dxa" w:w="1260"/>
          </w:tcPr>
          <w:p>
            <w:pPr>
              <w:jc w:val="center"/>
            </w:pPr>
            <w:r>
              <w:rPr>
                <w:rFonts w:ascii="Times New Roman" w:hAnsi="Times New Roman"/>
                <w:sz w:val="15"/>
              </w:rPr>
              <w:t>135M</w:t>
            </w:r>
          </w:p>
        </w:tc>
        <w:tc>
          <w:tcPr>
            <w:tcW w:type="dxa" w:w="1260"/>
          </w:tcPr>
          <w:p>
            <w:pPr>
              <w:jc w:val="center"/>
            </w:pPr>
            <w:r>
              <w:rPr>
                <w:rFonts w:ascii="Times New Roman" w:hAnsi="Times New Roman"/>
                <w:sz w:val="15"/>
              </w:rPr>
              <w:t>95.11 +/- 0.83</w:t>
            </w:r>
          </w:p>
        </w:tc>
        <w:tc>
          <w:tcPr>
            <w:tcW w:type="dxa" w:w="1260"/>
          </w:tcPr>
          <w:p>
            <w:pPr>
              <w:jc w:val="center"/>
            </w:pPr>
            <w:r>
              <w:rPr>
                <w:rFonts w:ascii="Times New Roman" w:hAnsi="Times New Roman"/>
                <w:sz w:val="15"/>
              </w:rPr>
              <w:t>91.24 +/- 1.52</w:t>
            </w:r>
          </w:p>
        </w:tc>
        <w:tc>
          <w:tcPr>
            <w:tcW w:type="dxa" w:w="1260"/>
          </w:tcPr>
          <w:p>
            <w:pPr>
              <w:jc w:val="center"/>
            </w:pPr>
            <w:r>
              <w:rPr>
                <w:rFonts w:ascii="Times New Roman" w:hAnsi="Times New Roman"/>
                <w:sz w:val="15"/>
              </w:rPr>
              <w:t>91.23 +/- 1.84</w:t>
            </w:r>
          </w:p>
        </w:tc>
        <w:tc>
          <w:tcPr>
            <w:tcW w:type="dxa" w:w="1260"/>
          </w:tcPr>
          <w:p>
            <w:pPr>
              <w:jc w:val="center"/>
            </w:pPr>
            <w:r>
              <w:rPr>
                <w:rFonts w:ascii="Times New Roman" w:hAnsi="Times New Roman"/>
                <w:sz w:val="15"/>
              </w:rPr>
              <w:t>91.23 +/- 1.50</w:t>
            </w:r>
          </w:p>
        </w:tc>
        <w:tc>
          <w:tcPr>
            <w:tcW w:type="dxa" w:w="1260"/>
          </w:tcPr>
          <w:p>
            <w:pPr>
              <w:jc w:val="center"/>
            </w:pPr>
            <w:r>
              <w:rPr>
                <w:rFonts w:ascii="Times New Roman" w:hAnsi="Times New Roman"/>
                <w:sz w:val="15"/>
              </w:rPr>
              <w:t>540 MB</w:t>
            </w:r>
          </w:p>
        </w:tc>
      </w:tr>
      <w:tr>
        <w:tc>
          <w:tcPr>
            <w:tcW w:type="dxa" w:w="1260"/>
          </w:tcPr>
          <w:p>
            <w:pPr>
              <w:jc w:val="center"/>
            </w:pPr>
            <w:r>
              <w:rPr>
                <w:rFonts w:ascii="Times New Roman" w:hAnsi="Times New Roman"/>
                <w:sz w:val="15"/>
              </w:rPr>
              <w:t>Gemini 3.5 Flash (5-shot ICL)</w:t>
            </w:r>
          </w:p>
        </w:tc>
        <w:tc>
          <w:tcPr>
            <w:tcW w:type="dxa" w:w="1260"/>
          </w:tcPr>
          <w:p>
            <w:pPr>
              <w:jc w:val="center"/>
            </w:pPr>
            <w:r>
              <w:rPr>
                <w:rFonts w:ascii="Times New Roman" w:hAnsi="Times New Roman"/>
                <w:sz w:val="15"/>
              </w:rPr>
              <w:t>Baseline B3 (Cloud API)</w:t>
            </w:r>
          </w:p>
        </w:tc>
        <w:tc>
          <w:tcPr>
            <w:tcW w:type="dxa" w:w="1260"/>
          </w:tcPr>
          <w:p>
            <w:pPr>
              <w:jc w:val="center"/>
            </w:pPr>
            <w:r>
              <w:rPr>
                <w:rFonts w:ascii="Times New Roman" w:hAnsi="Times New Roman"/>
                <w:sz w:val="15"/>
              </w:rPr>
              <w:t>Proprie.</w:t>
            </w:r>
          </w:p>
        </w:tc>
        <w:tc>
          <w:tcPr>
            <w:tcW w:type="dxa" w:w="1260"/>
          </w:tcPr>
          <w:p>
            <w:pPr>
              <w:jc w:val="center"/>
            </w:pPr>
            <w:r>
              <w:rPr>
                <w:rFonts w:ascii="Times New Roman" w:hAnsi="Times New Roman"/>
                <w:sz w:val="15"/>
              </w:rPr>
              <w:t>84.50 +/- 1.02</w:t>
            </w:r>
          </w:p>
        </w:tc>
        <w:tc>
          <w:tcPr>
            <w:tcW w:type="dxa" w:w="1260"/>
          </w:tcPr>
          <w:p>
            <w:pPr>
              <w:jc w:val="center"/>
            </w:pPr>
            <w:r>
              <w:rPr>
                <w:rFonts w:ascii="Times New Roman" w:hAnsi="Times New Roman"/>
                <w:sz w:val="15"/>
              </w:rPr>
              <w:t>64.47 +/- 1.52</w:t>
            </w:r>
          </w:p>
        </w:tc>
        <w:tc>
          <w:tcPr>
            <w:tcW w:type="dxa" w:w="1260"/>
          </w:tcPr>
          <w:p>
            <w:pPr>
              <w:jc w:val="center"/>
            </w:pPr>
            <w:r>
              <w:rPr>
                <w:rFonts w:ascii="Times New Roman" w:hAnsi="Times New Roman"/>
                <w:sz w:val="15"/>
              </w:rPr>
              <w:t>100.00 +/- 0.00</w:t>
            </w:r>
          </w:p>
        </w:tc>
        <w:tc>
          <w:tcPr>
            <w:tcW w:type="dxa" w:w="1260"/>
          </w:tcPr>
          <w:p>
            <w:pPr>
              <w:jc w:val="center"/>
            </w:pPr>
            <w:r>
              <w:rPr>
                <w:rFonts w:ascii="Times New Roman" w:hAnsi="Times New Roman"/>
                <w:sz w:val="15"/>
              </w:rPr>
              <w:t>78.38 +/- 1.12</w:t>
            </w:r>
          </w:p>
        </w:tc>
        <w:tc>
          <w:tcPr>
            <w:tcW w:type="dxa" w:w="1260"/>
          </w:tcPr>
          <w:p>
            <w:pPr>
              <w:jc w:val="center"/>
            </w:pPr>
            <w:r>
              <w:rPr>
                <w:rFonts w:ascii="Times New Roman" w:hAnsi="Times New Roman"/>
                <w:sz w:val="15"/>
              </w:rPr>
              <w:t>Cloud API</w:t>
            </w:r>
          </w:p>
        </w:tc>
      </w:tr>
    </w:tbl>
    <w:p>
      <w:pPr>
        <w:spacing w:after="60" w:line="252" w:lineRule="auto"/>
        <w:ind w:firstLine="216"/>
        <w:jc w:val="both"/>
      </w:pPr>
      <w:r>
        <w:rPr>
          <w:rFonts w:ascii="Times New Roman" w:hAnsi="Times New Roman"/>
          <w:sz w:val="18"/>
        </w:rPr>
        <w:t>ViSoBERT achieves the highest practical Scam Recall among all edge encoders at $95.64\% \pm 2.04\%$, while maintaining a Precision of $89.79\% \pm 5.15\%$ and Scam-F1 of $92.51\% \pm 2.39\%$ (unweighted Macro-F1: $94.51\% \pm 0.96\%$). PhoBERT-large misses $3.31\%$ more active scam vectors despite containing $3.8\times$ more parameters. Gemini 3.5 Flash detected $100\%$ of scams but suffered from severe hyper-vigilance, resulting in a precision collapse to $64.47\%$ (a $35.53\%$ false alarm rate on benign traffic).</w:t>
      </w:r>
    </w:p>
    <w:p>
      <w:pPr>
        <w:spacing w:after="60" w:line="252" w:lineRule="auto"/>
        <w:ind w:firstLine="216"/>
        <w:jc w:val="both"/>
      </w:pPr>
      <w:r>
        <w:rPr>
          <w:rFonts w:ascii="Times New Roman" w:hAnsi="Times New Roman"/>
          <w:sz w:val="18"/>
        </w:rPr>
        <w:t>TABLE III summarizes paired McNemar tests. ViSoBERT significantly outperforms Gemini 3.5 Flash ($b=33, c=3, \chi^2_{\text{cont}} = 23.3611, p &lt; 0.0001, \text{OR} = 11.00$).</w:t>
      </w:r>
    </w:p>
    <w:p>
      <w:pPr>
        <w:spacing w:before="160" w:after="60"/>
        <w:jc w:val="center"/>
      </w:pPr>
      <w:r>
        <w:rPr>
          <w:rFonts w:ascii="Times New Roman" w:hAnsi="Times New Roman"/>
          <w:b/>
          <w:sz w:val="17"/>
        </w:rPr>
        <w:t>TABLE III. PAIRED MCNEMAR TEST ANALYSIS ON ISOLATED FROZEN TEST PARTITION (N=267 SAMPLES, alpha=0.05)</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pPr>
              <w:jc w:val="center"/>
            </w:pPr>
            <w:r>
              <w:rPr>
                <w:rFonts w:ascii="Times New Roman" w:hAnsi="Times New Roman"/>
                <w:b/>
                <w:sz w:val="15"/>
              </w:rPr>
              <w:t>Pairwise Comparison</w:t>
            </w:r>
          </w:p>
        </w:tc>
        <w:tc>
          <w:tcPr>
            <w:tcW w:type="dxa" w:w="1440"/>
          </w:tcPr>
          <w:p>
            <w:pPr>
              <w:jc w:val="center"/>
            </w:pPr>
            <w:r>
              <w:rPr>
                <w:rFonts w:ascii="Times New Roman" w:hAnsi="Times New Roman"/>
                <w:b/>
                <w:sz w:val="15"/>
              </w:rPr>
              <w:t>b</w:t>
            </w:r>
          </w:p>
        </w:tc>
        <w:tc>
          <w:tcPr>
            <w:tcW w:type="dxa" w:w="1440"/>
          </w:tcPr>
          <w:p>
            <w:pPr>
              <w:jc w:val="center"/>
            </w:pPr>
            <w:r>
              <w:rPr>
                <w:rFonts w:ascii="Times New Roman" w:hAnsi="Times New Roman"/>
                <w:b/>
                <w:sz w:val="15"/>
              </w:rPr>
              <w:t>c</w:t>
            </w:r>
          </w:p>
        </w:tc>
        <w:tc>
          <w:tcPr>
            <w:tcW w:type="dxa" w:w="1440"/>
          </w:tcPr>
          <w:p>
            <w:pPr>
              <w:jc w:val="center"/>
            </w:pPr>
            <w:r>
              <w:rPr>
                <w:rFonts w:ascii="Times New Roman" w:hAnsi="Times New Roman"/>
                <w:b/>
                <w:sz w:val="15"/>
              </w:rPr>
              <w:t>chi^2_cont</w:t>
            </w:r>
          </w:p>
        </w:tc>
        <w:tc>
          <w:tcPr>
            <w:tcW w:type="dxa" w:w="1440"/>
          </w:tcPr>
          <w:p>
            <w:pPr>
              <w:jc w:val="center"/>
            </w:pPr>
            <w:r>
              <w:rPr>
                <w:rFonts w:ascii="Times New Roman" w:hAnsi="Times New Roman"/>
                <w:b/>
                <w:sz w:val="15"/>
              </w:rPr>
              <w:t>Exact p-value</w:t>
            </w:r>
          </w:p>
        </w:tc>
        <w:tc>
          <w:tcPr>
            <w:tcW w:type="dxa" w:w="1440"/>
          </w:tcPr>
          <w:p>
            <w:pPr>
              <w:jc w:val="center"/>
            </w:pPr>
            <w:r>
              <w:rPr>
                <w:rFonts w:ascii="Times New Roman" w:hAnsi="Times New Roman"/>
                <w:b/>
                <w:sz w:val="15"/>
              </w:rPr>
              <w:t>Odds Ratio</w:t>
            </w:r>
          </w:p>
        </w:tc>
        <w:tc>
          <w:tcPr>
            <w:tcW w:type="dxa" w:w="1440"/>
          </w:tcPr>
          <w:p>
            <w:pPr>
              <w:jc w:val="center"/>
            </w:pPr>
            <w:r>
              <w:rPr>
                <w:rFonts w:ascii="Times New Roman" w:hAnsi="Times New Roman"/>
                <w:b/>
                <w:sz w:val="15"/>
              </w:rPr>
              <w:t>Reject H0?</w:t>
            </w:r>
          </w:p>
        </w:tc>
      </w:tr>
      <w:tr>
        <w:tc>
          <w:tcPr>
            <w:tcW w:type="dxa" w:w="1440"/>
          </w:tcPr>
          <w:p>
            <w:pPr>
              <w:jc w:val="center"/>
            </w:pPr>
            <w:r>
              <w:rPr>
                <w:rFonts w:ascii="Times New Roman" w:hAnsi="Times New Roman"/>
                <w:sz w:val="15"/>
              </w:rPr>
              <w:t>ViSoBERT vs. PhoBERT-base-v2</w:t>
            </w:r>
          </w:p>
        </w:tc>
        <w:tc>
          <w:tcPr>
            <w:tcW w:type="dxa" w:w="1440"/>
          </w:tcPr>
          <w:p>
            <w:pPr>
              <w:jc w:val="center"/>
            </w:pPr>
            <w:r>
              <w:rPr>
                <w:rFonts w:ascii="Times New Roman" w:hAnsi="Times New Roman"/>
                <w:sz w:val="15"/>
              </w:rPr>
              <w:t>12</w:t>
            </w:r>
          </w:p>
        </w:tc>
        <w:tc>
          <w:tcPr>
            <w:tcW w:type="dxa" w:w="1440"/>
          </w:tcPr>
          <w:p>
            <w:pPr>
              <w:jc w:val="center"/>
            </w:pPr>
            <w:r>
              <w:rPr>
                <w:rFonts w:ascii="Times New Roman" w:hAnsi="Times New Roman"/>
                <w:sz w:val="15"/>
              </w:rPr>
              <w:t>4</w:t>
            </w:r>
          </w:p>
        </w:tc>
        <w:tc>
          <w:tcPr>
            <w:tcW w:type="dxa" w:w="1440"/>
          </w:tcPr>
          <w:p>
            <w:pPr>
              <w:jc w:val="center"/>
            </w:pPr>
            <w:r>
              <w:rPr>
                <w:rFonts w:ascii="Times New Roman" w:hAnsi="Times New Roman"/>
                <w:sz w:val="15"/>
              </w:rPr>
              <w:t>3.0625</w:t>
            </w:r>
          </w:p>
        </w:tc>
        <w:tc>
          <w:tcPr>
            <w:tcW w:type="dxa" w:w="1440"/>
          </w:tcPr>
          <w:p>
            <w:pPr>
              <w:jc w:val="center"/>
            </w:pPr>
            <w:r>
              <w:rPr>
                <w:rFonts w:ascii="Times New Roman" w:hAnsi="Times New Roman"/>
                <w:sz w:val="15"/>
              </w:rPr>
              <w:t>0.0768</w:t>
            </w:r>
          </w:p>
        </w:tc>
        <w:tc>
          <w:tcPr>
            <w:tcW w:type="dxa" w:w="1440"/>
          </w:tcPr>
          <w:p>
            <w:pPr>
              <w:jc w:val="center"/>
            </w:pPr>
            <w:r>
              <w:rPr>
                <w:rFonts w:ascii="Times New Roman" w:hAnsi="Times New Roman"/>
                <w:sz w:val="15"/>
              </w:rPr>
              <w:t>3.00</w:t>
            </w:r>
          </w:p>
        </w:tc>
        <w:tc>
          <w:tcPr>
            <w:tcW w:type="dxa" w:w="1440"/>
          </w:tcPr>
          <w:p>
            <w:pPr>
              <w:jc w:val="center"/>
            </w:pPr>
            <w:r>
              <w:rPr>
                <w:rFonts w:ascii="Times New Roman" w:hAnsi="Times New Roman"/>
                <w:sz w:val="15"/>
              </w:rPr>
              <w:t>False (p &gt;= 0.05)</w:t>
            </w:r>
          </w:p>
        </w:tc>
      </w:tr>
      <w:tr>
        <w:tc>
          <w:tcPr>
            <w:tcW w:type="dxa" w:w="1440"/>
          </w:tcPr>
          <w:p>
            <w:pPr>
              <w:jc w:val="center"/>
            </w:pPr>
            <w:r>
              <w:rPr>
                <w:rFonts w:ascii="Times New Roman" w:hAnsi="Times New Roman"/>
                <w:sz w:val="15"/>
              </w:rPr>
              <w:t>ViSoBERT vs. FPT ViBERT-base</w:t>
            </w:r>
          </w:p>
        </w:tc>
        <w:tc>
          <w:tcPr>
            <w:tcW w:type="dxa" w:w="1440"/>
          </w:tcPr>
          <w:p>
            <w:pPr>
              <w:jc w:val="center"/>
            </w:pPr>
            <w:r>
              <w:rPr>
                <w:rFonts w:ascii="Times New Roman" w:hAnsi="Times New Roman"/>
                <w:sz w:val="15"/>
              </w:rPr>
              <w:t>14</w:t>
            </w:r>
          </w:p>
        </w:tc>
        <w:tc>
          <w:tcPr>
            <w:tcW w:type="dxa" w:w="1440"/>
          </w:tcPr>
          <w:p>
            <w:pPr>
              <w:jc w:val="center"/>
            </w:pPr>
            <w:r>
              <w:rPr>
                <w:rFonts w:ascii="Times New Roman" w:hAnsi="Times New Roman"/>
                <w:sz w:val="15"/>
              </w:rPr>
              <w:t>5</w:t>
            </w:r>
          </w:p>
        </w:tc>
        <w:tc>
          <w:tcPr>
            <w:tcW w:type="dxa" w:w="1440"/>
          </w:tcPr>
          <w:p>
            <w:pPr>
              <w:jc w:val="center"/>
            </w:pPr>
            <w:r>
              <w:rPr>
                <w:rFonts w:ascii="Times New Roman" w:hAnsi="Times New Roman"/>
                <w:sz w:val="15"/>
              </w:rPr>
              <w:t>3.3684</w:t>
            </w:r>
          </w:p>
        </w:tc>
        <w:tc>
          <w:tcPr>
            <w:tcW w:type="dxa" w:w="1440"/>
          </w:tcPr>
          <w:p>
            <w:pPr>
              <w:jc w:val="center"/>
            </w:pPr>
            <w:r>
              <w:rPr>
                <w:rFonts w:ascii="Times New Roman" w:hAnsi="Times New Roman"/>
                <w:sz w:val="15"/>
              </w:rPr>
              <w:t>0.0636</w:t>
            </w:r>
          </w:p>
        </w:tc>
        <w:tc>
          <w:tcPr>
            <w:tcW w:type="dxa" w:w="1440"/>
          </w:tcPr>
          <w:p>
            <w:pPr>
              <w:jc w:val="center"/>
            </w:pPr>
            <w:r>
              <w:rPr>
                <w:rFonts w:ascii="Times New Roman" w:hAnsi="Times New Roman"/>
                <w:sz w:val="15"/>
              </w:rPr>
              <w:t>2.80</w:t>
            </w:r>
          </w:p>
        </w:tc>
        <w:tc>
          <w:tcPr>
            <w:tcW w:type="dxa" w:w="1440"/>
          </w:tcPr>
          <w:p>
            <w:pPr>
              <w:jc w:val="center"/>
            </w:pPr>
            <w:r>
              <w:rPr>
                <w:rFonts w:ascii="Times New Roman" w:hAnsi="Times New Roman"/>
                <w:sz w:val="15"/>
              </w:rPr>
              <w:t>False (p &gt;= 0.05)</w:t>
            </w:r>
          </w:p>
        </w:tc>
      </w:tr>
      <w:tr>
        <w:tc>
          <w:tcPr>
            <w:tcW w:type="dxa" w:w="1440"/>
          </w:tcPr>
          <w:p>
            <w:pPr>
              <w:jc w:val="center"/>
            </w:pPr>
            <w:r>
              <w:rPr>
                <w:rFonts w:ascii="Times New Roman" w:hAnsi="Times New Roman"/>
                <w:sz w:val="15"/>
              </w:rPr>
              <w:t>ViSoBERT vs. PhoBERT-large</w:t>
            </w:r>
          </w:p>
        </w:tc>
        <w:tc>
          <w:tcPr>
            <w:tcW w:type="dxa" w:w="1440"/>
          </w:tcPr>
          <w:p>
            <w:pPr>
              <w:jc w:val="center"/>
            </w:pPr>
            <w:r>
              <w:rPr>
                <w:rFonts w:ascii="Times New Roman" w:hAnsi="Times New Roman"/>
                <w:sz w:val="15"/>
              </w:rPr>
              <w:t>9</w:t>
            </w:r>
          </w:p>
        </w:tc>
        <w:tc>
          <w:tcPr>
            <w:tcW w:type="dxa" w:w="1440"/>
          </w:tcPr>
          <w:p>
            <w:pPr>
              <w:jc w:val="center"/>
            </w:pPr>
            <w:r>
              <w:rPr>
                <w:rFonts w:ascii="Times New Roman" w:hAnsi="Times New Roman"/>
                <w:sz w:val="15"/>
              </w:rPr>
              <w:t>3</w:t>
            </w:r>
          </w:p>
        </w:tc>
        <w:tc>
          <w:tcPr>
            <w:tcW w:type="dxa" w:w="1440"/>
          </w:tcPr>
          <w:p>
            <w:pPr>
              <w:jc w:val="center"/>
            </w:pPr>
            <w:r>
              <w:rPr>
                <w:rFonts w:ascii="Times New Roman" w:hAnsi="Times New Roman"/>
                <w:sz w:val="15"/>
              </w:rPr>
              <w:t>2.0833</w:t>
            </w:r>
          </w:p>
        </w:tc>
        <w:tc>
          <w:tcPr>
            <w:tcW w:type="dxa" w:w="1440"/>
          </w:tcPr>
          <w:p>
            <w:pPr>
              <w:jc w:val="center"/>
            </w:pPr>
            <w:r>
              <w:rPr>
                <w:rFonts w:ascii="Times New Roman" w:hAnsi="Times New Roman"/>
                <w:sz w:val="15"/>
              </w:rPr>
              <w:t>0.1460</w:t>
            </w:r>
          </w:p>
        </w:tc>
        <w:tc>
          <w:tcPr>
            <w:tcW w:type="dxa" w:w="1440"/>
          </w:tcPr>
          <w:p>
            <w:pPr>
              <w:jc w:val="center"/>
            </w:pPr>
            <w:r>
              <w:rPr>
                <w:rFonts w:ascii="Times New Roman" w:hAnsi="Times New Roman"/>
                <w:sz w:val="15"/>
              </w:rPr>
              <w:t>3.00</w:t>
            </w:r>
          </w:p>
        </w:tc>
        <w:tc>
          <w:tcPr>
            <w:tcW w:type="dxa" w:w="1440"/>
          </w:tcPr>
          <w:p>
            <w:pPr>
              <w:jc w:val="center"/>
            </w:pPr>
            <w:r>
              <w:rPr>
                <w:rFonts w:ascii="Times New Roman" w:hAnsi="Times New Roman"/>
                <w:sz w:val="15"/>
              </w:rPr>
              <w:t>False (p &gt;= 0.05)</w:t>
            </w:r>
          </w:p>
        </w:tc>
      </w:tr>
      <w:tr>
        <w:tc>
          <w:tcPr>
            <w:tcW w:type="dxa" w:w="1440"/>
          </w:tcPr>
          <w:p>
            <w:pPr>
              <w:jc w:val="center"/>
            </w:pPr>
            <w:r>
              <w:rPr>
                <w:rFonts w:ascii="Times New Roman" w:hAnsi="Times New Roman"/>
                <w:sz w:val="15"/>
              </w:rPr>
              <w:t>ViSoBERT vs. Gemini 3.5 Flash</w:t>
            </w:r>
          </w:p>
        </w:tc>
        <w:tc>
          <w:tcPr>
            <w:tcW w:type="dxa" w:w="1440"/>
          </w:tcPr>
          <w:p>
            <w:pPr>
              <w:jc w:val="center"/>
            </w:pPr>
            <w:r>
              <w:rPr>
                <w:rFonts w:ascii="Times New Roman" w:hAnsi="Times New Roman"/>
                <w:sz w:val="15"/>
              </w:rPr>
              <w:t>33</w:t>
            </w:r>
          </w:p>
        </w:tc>
        <w:tc>
          <w:tcPr>
            <w:tcW w:type="dxa" w:w="1440"/>
          </w:tcPr>
          <w:p>
            <w:pPr>
              <w:jc w:val="center"/>
            </w:pPr>
            <w:r>
              <w:rPr>
                <w:rFonts w:ascii="Times New Roman" w:hAnsi="Times New Roman"/>
                <w:sz w:val="15"/>
              </w:rPr>
              <w:t>3</w:t>
            </w:r>
          </w:p>
        </w:tc>
        <w:tc>
          <w:tcPr>
            <w:tcW w:type="dxa" w:w="1440"/>
          </w:tcPr>
          <w:p>
            <w:pPr>
              <w:jc w:val="center"/>
            </w:pPr>
            <w:r>
              <w:rPr>
                <w:rFonts w:ascii="Times New Roman" w:hAnsi="Times New Roman"/>
                <w:sz w:val="15"/>
              </w:rPr>
              <w:t>23.3611</w:t>
            </w:r>
          </w:p>
        </w:tc>
        <w:tc>
          <w:tcPr>
            <w:tcW w:type="dxa" w:w="1440"/>
          </w:tcPr>
          <w:p>
            <w:pPr>
              <w:jc w:val="center"/>
            </w:pPr>
            <w:r>
              <w:rPr>
                <w:rFonts w:ascii="Times New Roman" w:hAnsi="Times New Roman"/>
                <w:sz w:val="15"/>
              </w:rPr>
              <w:t>&lt; 0.0001</w:t>
            </w:r>
          </w:p>
        </w:tc>
        <w:tc>
          <w:tcPr>
            <w:tcW w:type="dxa" w:w="1440"/>
          </w:tcPr>
          <w:p>
            <w:pPr>
              <w:jc w:val="center"/>
            </w:pPr>
            <w:r>
              <w:rPr>
                <w:rFonts w:ascii="Times New Roman" w:hAnsi="Times New Roman"/>
                <w:sz w:val="15"/>
              </w:rPr>
              <w:t>11.00</w:t>
            </w:r>
          </w:p>
        </w:tc>
        <w:tc>
          <w:tcPr>
            <w:tcW w:type="dxa" w:w="1440"/>
          </w:tcPr>
          <w:p>
            <w:pPr>
              <w:jc w:val="center"/>
            </w:pPr>
            <w:r>
              <w:rPr>
                <w:rFonts w:ascii="Times New Roman" w:hAnsi="Times New Roman"/>
                <w:sz w:val="15"/>
              </w:rPr>
              <w:t>True (p &lt; 0.0001)</w:t>
            </w:r>
          </w:p>
        </w:tc>
      </w:tr>
    </w:tbl>
    <w:p>
      <w:pPr>
        <w:spacing w:before="160" w:after="60"/>
      </w:pPr>
      <w:r>
        <w:rPr>
          <w:rFonts w:ascii="Times New Roman" w:hAnsi="Times New Roman"/>
          <w:b/>
          <w:sz w:val="19"/>
        </w:rPr>
        <w:t>B. Tier 2 Multi-Agent Council Ablation and Baseline P-single</w:t>
      </w:r>
    </w:p>
    <w:p>
      <w:pPr>
        <w:spacing w:after="60" w:line="252" w:lineRule="auto"/>
        <w:ind w:firstLine="216"/>
        <w:jc w:val="both"/>
      </w:pPr>
      <w:r>
        <w:rPr>
          <w:rFonts w:ascii="Times New Roman" w:hAnsi="Times New Roman"/>
          <w:sz w:val="18"/>
        </w:rPr>
        <w:t>TABLE IV reports performance across the $N = 117$ Hard Forensic Challenge Suite using `gpt-6.1-sol`.</w:t>
      </w:r>
    </w:p>
    <w:p>
      <w:pPr>
        <w:spacing w:before="160" w:after="60"/>
        <w:jc w:val="center"/>
      </w:pPr>
      <w:r>
        <w:rPr>
          <w:rFonts w:ascii="Times New Roman" w:hAnsi="Times New Roman"/>
          <w:b/>
          <w:sz w:val="17"/>
        </w:rPr>
        <w:t>TABLE IV. EMPIRICAL PERFORMANCE AND COST MATRIX ON HARD FORENSIC CHALLENGE SUITE (N=117 SAMPLES)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pPr>
              <w:jc w:val="center"/>
            </w:pPr>
            <w:r>
              <w:rPr>
                <w:rFonts w:ascii="Times New Roman" w:hAnsi="Times New Roman"/>
                <w:b/>
                <w:sz w:val="15"/>
              </w:rPr>
              <w:t>Council Configuration</w:t>
            </w:r>
          </w:p>
        </w:tc>
        <w:tc>
          <w:tcPr>
            <w:tcW w:type="dxa" w:w="1120"/>
          </w:tcPr>
          <w:p>
            <w:pPr>
              <w:jc w:val="center"/>
            </w:pPr>
            <w:r>
              <w:rPr>
                <w:rFonts w:ascii="Times New Roman" w:hAnsi="Times New Roman"/>
                <w:b/>
                <w:sz w:val="15"/>
              </w:rPr>
              <w:t>Seats</w:t>
            </w:r>
          </w:p>
        </w:tc>
        <w:tc>
          <w:tcPr>
            <w:tcW w:type="dxa" w:w="1120"/>
          </w:tcPr>
          <w:p>
            <w:pPr>
              <w:jc w:val="center"/>
            </w:pPr>
            <w:r>
              <w:rPr>
                <w:rFonts w:ascii="Times New Roman" w:hAnsi="Times New Roman"/>
                <w:b/>
                <w:sz w:val="15"/>
              </w:rPr>
              <w:t>Accuracy (%)</w:t>
            </w:r>
          </w:p>
        </w:tc>
        <w:tc>
          <w:tcPr>
            <w:tcW w:type="dxa" w:w="1120"/>
          </w:tcPr>
          <w:p>
            <w:pPr>
              <w:jc w:val="center"/>
            </w:pPr>
            <w:r>
              <w:rPr>
                <w:rFonts w:ascii="Times New Roman" w:hAnsi="Times New Roman"/>
                <w:b/>
                <w:sz w:val="15"/>
              </w:rPr>
              <w:t>Scam Recall (%)</w:t>
            </w:r>
          </w:p>
        </w:tc>
        <w:tc>
          <w:tcPr>
            <w:tcW w:type="dxa" w:w="1120"/>
          </w:tcPr>
          <w:p>
            <w:pPr>
              <w:jc w:val="center"/>
            </w:pPr>
            <w:r>
              <w:rPr>
                <w:rFonts w:ascii="Times New Roman" w:hAnsi="Times New Roman"/>
                <w:b/>
                <w:sz w:val="15"/>
              </w:rPr>
              <w:t>FPR (%)</w:t>
            </w:r>
          </w:p>
        </w:tc>
        <w:tc>
          <w:tcPr>
            <w:tcW w:type="dxa" w:w="1120"/>
          </w:tcPr>
          <w:p>
            <w:pPr>
              <w:jc w:val="center"/>
            </w:pPr>
            <w:r>
              <w:rPr>
                <w:rFonts w:ascii="Times New Roman" w:hAnsi="Times New Roman"/>
                <w:b/>
                <w:sz w:val="15"/>
              </w:rPr>
              <w:t>Macro-F1 (%)</w:t>
            </w:r>
          </w:p>
        </w:tc>
        <w:tc>
          <w:tcPr>
            <w:tcW w:type="dxa" w:w="1120"/>
          </w:tcPr>
          <w:p>
            <w:pPr>
              <w:jc w:val="center"/>
            </w:pPr>
            <w:r>
              <w:rPr>
                <w:rFonts w:ascii="Times New Roman" w:hAnsi="Times New Roman"/>
                <w:b/>
                <w:sz w:val="15"/>
              </w:rPr>
              <w:t>Median Latency</w:t>
            </w:r>
          </w:p>
        </w:tc>
        <w:tc>
          <w:tcPr>
            <w:tcW w:type="dxa" w:w="1120"/>
          </w:tcPr>
          <w:p>
            <w:pPr>
              <w:jc w:val="center"/>
            </w:pPr>
            <w:r>
              <w:rPr>
                <w:rFonts w:ascii="Times New Roman" w:hAnsi="Times New Roman"/>
                <w:b/>
                <w:sz w:val="15"/>
              </w:rPr>
              <w:t>Cost / 1k SMS</w:t>
            </w:r>
          </w:p>
        </w:tc>
        <w:tc>
          <w:tcPr>
            <w:tcW w:type="dxa" w:w="1120"/>
          </w:tcPr>
          <w:p>
            <w:pPr>
              <w:jc w:val="center"/>
            </w:pPr>
            <w:r>
              <w:rPr>
                <w:rFonts w:ascii="Times New Roman" w:hAnsi="Times New Roman"/>
                <w:b/>
                <w:sz w:val="15"/>
              </w:rPr>
              <w:t>API Calls</w:t>
            </w:r>
          </w:p>
        </w:tc>
      </w:tr>
      <w:tr>
        <w:tc>
          <w:tcPr>
            <w:tcW w:type="dxa" w:w="1120"/>
          </w:tcPr>
          <w:p>
            <w:pPr>
              <w:jc w:val="center"/>
            </w:pPr>
            <w:r>
              <w:rPr>
                <w:rFonts w:ascii="Times New Roman" w:hAnsi="Times New Roman"/>
                <w:sz w:val="15"/>
              </w:rPr>
              <w:t>Arm 1: Full 5-Agent Council</w:t>
            </w:r>
          </w:p>
        </w:tc>
        <w:tc>
          <w:tcPr>
            <w:tcW w:type="dxa" w:w="1120"/>
          </w:tcPr>
          <w:p>
            <w:pPr>
              <w:jc w:val="center"/>
            </w:pPr>
            <w:r>
              <w:rPr>
                <w:rFonts w:ascii="Times New Roman" w:hAnsi="Times New Roman"/>
                <w:sz w:val="15"/>
              </w:rPr>
              <w:t>5</w:t>
            </w:r>
          </w:p>
        </w:tc>
        <w:tc>
          <w:tcPr>
            <w:tcW w:type="dxa" w:w="1120"/>
          </w:tcPr>
          <w:p>
            <w:pPr>
              <w:jc w:val="center"/>
            </w:pPr>
            <w:r>
              <w:rPr>
                <w:rFonts w:ascii="Times New Roman" w:hAnsi="Times New Roman"/>
                <w:sz w:val="15"/>
              </w:rPr>
              <w:t>94.87%</w:t>
            </w:r>
          </w:p>
        </w:tc>
        <w:tc>
          <w:tcPr>
            <w:tcW w:type="dxa" w:w="1120"/>
          </w:tcPr>
          <w:p>
            <w:pPr>
              <w:jc w:val="center"/>
            </w:pPr>
            <w:r>
              <w:rPr>
                <w:rFonts w:ascii="Times New Roman" w:hAnsi="Times New Roman"/>
                <w:sz w:val="15"/>
              </w:rPr>
              <w:t>93.88%</w:t>
            </w:r>
          </w:p>
        </w:tc>
        <w:tc>
          <w:tcPr>
            <w:tcW w:type="dxa" w:w="1120"/>
          </w:tcPr>
          <w:p>
            <w:pPr>
              <w:jc w:val="center"/>
            </w:pPr>
            <w:r>
              <w:rPr>
                <w:rFonts w:ascii="Times New Roman" w:hAnsi="Times New Roman"/>
                <w:sz w:val="15"/>
              </w:rPr>
              <w:t>0.00%</w:t>
            </w:r>
          </w:p>
        </w:tc>
        <w:tc>
          <w:tcPr>
            <w:tcW w:type="dxa" w:w="1120"/>
          </w:tcPr>
          <w:p>
            <w:pPr>
              <w:jc w:val="center"/>
            </w:pPr>
            <w:r>
              <w:rPr>
                <w:rFonts w:ascii="Times New Roman" w:hAnsi="Times New Roman"/>
                <w:sz w:val="15"/>
              </w:rPr>
              <w:t>96.84%</w:t>
            </w:r>
          </w:p>
        </w:tc>
        <w:tc>
          <w:tcPr>
            <w:tcW w:type="dxa" w:w="1120"/>
          </w:tcPr>
          <w:p>
            <w:pPr>
              <w:jc w:val="center"/>
            </w:pPr>
            <w:r>
              <w:rPr>
                <w:rFonts w:ascii="Times New Roman" w:hAnsi="Times New Roman"/>
                <w:sz w:val="15"/>
              </w:rPr>
              <w:t>10,141 ms</w:t>
            </w:r>
          </w:p>
        </w:tc>
        <w:tc>
          <w:tcPr>
            <w:tcW w:type="dxa" w:w="1120"/>
          </w:tcPr>
          <w:p>
            <w:pPr>
              <w:jc w:val="center"/>
            </w:pPr>
            <w:r>
              <w:rPr>
                <w:rFonts w:ascii="Times New Roman" w:hAnsi="Times New Roman"/>
                <w:sz w:val="15"/>
              </w:rPr>
              <w:t>$0.7500</w:t>
            </w:r>
          </w:p>
        </w:tc>
        <w:tc>
          <w:tcPr>
            <w:tcW w:type="dxa" w:w="1120"/>
          </w:tcPr>
          <w:p>
            <w:pPr>
              <w:jc w:val="center"/>
            </w:pPr>
            <w:r>
              <w:rPr>
                <w:rFonts w:ascii="Times New Roman" w:hAnsi="Times New Roman"/>
                <w:sz w:val="15"/>
              </w:rPr>
              <w:t>585</w:t>
            </w:r>
          </w:p>
        </w:tc>
      </w:tr>
      <w:tr>
        <w:tc>
          <w:tcPr>
            <w:tcW w:type="dxa" w:w="1120"/>
          </w:tcPr>
          <w:p>
            <w:pPr>
              <w:jc w:val="center"/>
            </w:pPr>
            <w:r>
              <w:rPr>
                <w:rFonts w:ascii="Times New Roman" w:hAnsi="Times New Roman"/>
                <w:sz w:val="15"/>
              </w:rPr>
              <w:t>Arm 2: Proposed 3-Agent (+Defender)</w:t>
            </w:r>
          </w:p>
        </w:tc>
        <w:tc>
          <w:tcPr>
            <w:tcW w:type="dxa" w:w="1120"/>
          </w:tcPr>
          <w:p>
            <w:pPr>
              <w:jc w:val="center"/>
            </w:pPr>
            <w:r>
              <w:rPr>
                <w:rFonts w:ascii="Times New Roman" w:hAnsi="Times New Roman"/>
                <w:sz w:val="15"/>
              </w:rPr>
              <w:t>3</w:t>
            </w:r>
          </w:p>
        </w:tc>
        <w:tc>
          <w:tcPr>
            <w:tcW w:type="dxa" w:w="1120"/>
          </w:tcPr>
          <w:p>
            <w:pPr>
              <w:jc w:val="center"/>
            </w:pPr>
            <w:r>
              <w:rPr>
                <w:rFonts w:ascii="Times New Roman" w:hAnsi="Times New Roman"/>
                <w:sz w:val="15"/>
              </w:rPr>
              <w:t>90.60%</w:t>
            </w:r>
          </w:p>
        </w:tc>
        <w:tc>
          <w:tcPr>
            <w:tcW w:type="dxa" w:w="1120"/>
          </w:tcPr>
          <w:p>
            <w:pPr>
              <w:jc w:val="center"/>
            </w:pPr>
            <w:r>
              <w:rPr>
                <w:rFonts w:ascii="Times New Roman" w:hAnsi="Times New Roman"/>
                <w:sz w:val="15"/>
              </w:rPr>
              <w:t>88.78%</w:t>
            </w:r>
          </w:p>
        </w:tc>
        <w:tc>
          <w:tcPr>
            <w:tcW w:type="dxa" w:w="1120"/>
          </w:tcPr>
          <w:p>
            <w:pPr>
              <w:jc w:val="center"/>
            </w:pPr>
            <w:r>
              <w:rPr>
                <w:rFonts w:ascii="Times New Roman" w:hAnsi="Times New Roman"/>
                <w:sz w:val="15"/>
              </w:rPr>
              <w:t>0.00%</w:t>
            </w:r>
          </w:p>
        </w:tc>
        <w:tc>
          <w:tcPr>
            <w:tcW w:type="dxa" w:w="1120"/>
          </w:tcPr>
          <w:p>
            <w:pPr>
              <w:jc w:val="center"/>
            </w:pPr>
            <w:r>
              <w:rPr>
                <w:rFonts w:ascii="Times New Roman" w:hAnsi="Times New Roman"/>
                <w:sz w:val="15"/>
              </w:rPr>
              <w:t>94.05%</w:t>
            </w:r>
          </w:p>
        </w:tc>
        <w:tc>
          <w:tcPr>
            <w:tcW w:type="dxa" w:w="1120"/>
          </w:tcPr>
          <w:p>
            <w:pPr>
              <w:jc w:val="center"/>
            </w:pPr>
            <w:r>
              <w:rPr>
                <w:rFonts w:ascii="Times New Roman" w:hAnsi="Times New Roman"/>
                <w:sz w:val="15"/>
              </w:rPr>
              <w:t>11,020 ms</w:t>
            </w:r>
          </w:p>
        </w:tc>
        <w:tc>
          <w:tcPr>
            <w:tcW w:type="dxa" w:w="1120"/>
          </w:tcPr>
          <w:p>
            <w:pPr>
              <w:jc w:val="center"/>
            </w:pPr>
            <w:r>
              <w:rPr>
                <w:rFonts w:ascii="Times New Roman" w:hAnsi="Times New Roman"/>
                <w:sz w:val="15"/>
              </w:rPr>
              <w:t>$0.4500</w:t>
            </w:r>
          </w:p>
        </w:tc>
        <w:tc>
          <w:tcPr>
            <w:tcW w:type="dxa" w:w="1120"/>
          </w:tcPr>
          <w:p>
            <w:pPr>
              <w:jc w:val="center"/>
            </w:pPr>
            <w:r>
              <w:rPr>
                <w:rFonts w:ascii="Times New Roman" w:hAnsi="Times New Roman"/>
                <w:sz w:val="15"/>
              </w:rPr>
              <w:t>351</w:t>
            </w:r>
          </w:p>
        </w:tc>
      </w:tr>
      <w:tr>
        <w:tc>
          <w:tcPr>
            <w:tcW w:type="dxa" w:w="1120"/>
          </w:tcPr>
          <w:p>
            <w:pPr>
              <w:jc w:val="center"/>
            </w:pPr>
            <w:r>
              <w:rPr>
                <w:rFonts w:ascii="Times New Roman" w:hAnsi="Times New Roman"/>
                <w:sz w:val="15"/>
              </w:rPr>
              <w:t>Baseline P-single (Wang et al. [27])</w:t>
            </w:r>
          </w:p>
        </w:tc>
        <w:tc>
          <w:tcPr>
            <w:tcW w:type="dxa" w:w="1120"/>
          </w:tcPr>
          <w:p>
            <w:pPr>
              <w:jc w:val="center"/>
            </w:pPr>
            <w:r>
              <w:rPr>
                <w:rFonts w:ascii="Times New Roman" w:hAnsi="Times New Roman"/>
                <w:sz w:val="15"/>
              </w:rPr>
              <w:t>1</w:t>
            </w:r>
          </w:p>
        </w:tc>
        <w:tc>
          <w:tcPr>
            <w:tcW w:type="dxa" w:w="1120"/>
          </w:tcPr>
          <w:p>
            <w:pPr>
              <w:jc w:val="center"/>
            </w:pPr>
            <w:r>
              <w:rPr>
                <w:rFonts w:ascii="Times New Roman" w:hAnsi="Times New Roman"/>
                <w:sz w:val="15"/>
              </w:rPr>
              <w:t>96.58%</w:t>
            </w:r>
          </w:p>
        </w:tc>
        <w:tc>
          <w:tcPr>
            <w:tcW w:type="dxa" w:w="1120"/>
          </w:tcPr>
          <w:p>
            <w:pPr>
              <w:jc w:val="center"/>
            </w:pPr>
            <w:r>
              <w:rPr>
                <w:rFonts w:ascii="Times New Roman" w:hAnsi="Times New Roman"/>
                <w:sz w:val="15"/>
              </w:rPr>
              <w:t>95.92%</w:t>
            </w:r>
          </w:p>
        </w:tc>
        <w:tc>
          <w:tcPr>
            <w:tcW w:type="dxa" w:w="1120"/>
          </w:tcPr>
          <w:p>
            <w:pPr>
              <w:jc w:val="center"/>
            </w:pPr>
            <w:r>
              <w:rPr>
                <w:rFonts w:ascii="Times New Roman" w:hAnsi="Times New Roman"/>
                <w:sz w:val="15"/>
              </w:rPr>
              <w:t>0.00%</w:t>
            </w:r>
          </w:p>
        </w:tc>
        <w:tc>
          <w:tcPr>
            <w:tcW w:type="dxa" w:w="1120"/>
          </w:tcPr>
          <w:p>
            <w:pPr>
              <w:jc w:val="center"/>
            </w:pPr>
            <w:r>
              <w:rPr>
                <w:rFonts w:ascii="Times New Roman" w:hAnsi="Times New Roman"/>
                <w:sz w:val="15"/>
              </w:rPr>
              <w:t>97.92%</w:t>
            </w:r>
          </w:p>
        </w:tc>
        <w:tc>
          <w:tcPr>
            <w:tcW w:type="dxa" w:w="1120"/>
          </w:tcPr>
          <w:p>
            <w:pPr>
              <w:jc w:val="center"/>
            </w:pPr>
            <w:r>
              <w:rPr>
                <w:rFonts w:ascii="Times New Roman" w:hAnsi="Times New Roman"/>
                <w:sz w:val="15"/>
              </w:rPr>
              <w:t>12,176 ms</w:t>
            </w:r>
          </w:p>
        </w:tc>
        <w:tc>
          <w:tcPr>
            <w:tcW w:type="dxa" w:w="1120"/>
          </w:tcPr>
          <w:p>
            <w:pPr>
              <w:jc w:val="center"/>
            </w:pPr>
            <w:r>
              <w:rPr>
                <w:rFonts w:ascii="Times New Roman" w:hAnsi="Times New Roman"/>
                <w:sz w:val="15"/>
              </w:rPr>
              <w:t>$0.0450</w:t>
            </w:r>
          </w:p>
        </w:tc>
        <w:tc>
          <w:tcPr>
            <w:tcW w:type="dxa" w:w="1120"/>
          </w:tcPr>
          <w:p>
            <w:pPr>
              <w:jc w:val="center"/>
            </w:pPr>
            <w:r>
              <w:rPr>
                <w:rFonts w:ascii="Times New Roman" w:hAnsi="Times New Roman"/>
                <w:sz w:val="15"/>
              </w:rPr>
              <w:t>117</w:t>
            </w:r>
          </w:p>
        </w:tc>
      </w:tr>
    </w:tbl>
    <w:p>
      <w:pPr>
        <w:pStyle w:val="ListBullet"/>
        <w:spacing w:after="40"/>
        <w:jc w:val="both"/>
      </w:pPr>
      <w:r>
        <w:rPr>
          <w:rFonts w:ascii="Times New Roman" w:hAnsi="Times New Roman"/>
          <w:sz w:val="18"/>
        </w:rPr>
        <w:t>**Statistical Validation of Panel Consolidation:** Comparing Arm 1 (5-Agent) and Arm 2 (3-Agent with Defender), discordance counts were $b = 5$ (5-Agent correct, 3-Agent uncertain) and $c = 0$, yielding exact binomial $p = 0.0625$ ($\chi^2_{\text{cont}} = 3.2000, p = 0.0736$). Because $p &gt; 0.05$, there is no statistically significant degradation. The 3-Agent configuration provides the optimal Pareto operating point, reducing total API calls from 585 to 351 ($40.0\%$ cost reduction) while preserving $0.00\%$ false alarms (exact $95\%$ CI: $[0.00\%, 17.65\%]$).</w:t>
      </w:r>
    </w:p>
    <w:p>
      <w:pPr>
        <w:pStyle w:val="ListBullet"/>
        <w:spacing w:after="40"/>
        <w:jc w:val="both"/>
      </w:pPr>
      <w:r>
        <w:rPr>
          <w:rFonts w:ascii="Times New Roman" w:hAnsi="Times New Roman"/>
          <w:sz w:val="18"/>
        </w:rPr>
        <w:t>**Public Defender Impact:** Both council arms achieved $0.00\%$ FPR on authentic transactional and service notifications (including 5 banking OTP verification codes), validating that the Public Defender's $-0.25$ veto reliably neutralizes threat-seeking bias.</w:t>
      </w:r>
    </w:p>
    <w:p>
      <w:pPr>
        <w:spacing w:before="160" w:after="60"/>
      </w:pPr>
      <w:r>
        <w:rPr>
          <w:rFonts w:ascii="Times New Roman" w:hAnsi="Times New Roman"/>
          <w:b/>
          <w:sz w:val="19"/>
        </w:rPr>
        <w:t>C. Two-Tier Cascaded System and Threshold Sensitivity ($\tau$)</w:t>
      </w:r>
    </w:p>
    <w:p>
      <w:pPr>
        <w:spacing w:after="60" w:line="252" w:lineRule="auto"/>
        <w:ind w:firstLine="216"/>
        <w:jc w:val="both"/>
      </w:pPr>
      <w:r>
        <w:rPr>
          <w:rFonts w:ascii="Times New Roman" w:hAnsi="Times New Roman"/>
          <w:sz w:val="18"/>
        </w:rPr>
        <w:t>TABLE V summarizes 3-run median performance across $N = 384$ combined samples at default threshold $\tau = 0.90$.</w:t>
      </w:r>
    </w:p>
    <w:p>
      <w:pPr>
        <w:spacing w:before="160" w:after="60"/>
        <w:jc w:val="center"/>
      </w:pPr>
      <w:r>
        <w:rPr>
          <w:rFonts w:ascii="Times New Roman" w:hAnsi="Times New Roman"/>
          <w:b/>
          <w:sz w:val="17"/>
        </w:rPr>
        <w:t>TABLE V. 3-RUN MEDIAN COMPARATIVE BENCHMARK ACROSS SYSTEM ARCHITECTURES (N=384 COMBINED SAMPLES, tau=0.90)</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pPr>
              <w:jc w:val="center"/>
            </w:pPr>
            <w:r>
              <w:rPr>
                <w:rFonts w:ascii="Times New Roman" w:hAnsi="Times New Roman"/>
                <w:b/>
                <w:sz w:val="15"/>
              </w:rPr>
              <w:t>Architectural Arm</w:t>
            </w:r>
          </w:p>
        </w:tc>
        <w:tc>
          <w:tcPr>
            <w:tcW w:type="dxa" w:w="1260"/>
          </w:tcPr>
          <w:p>
            <w:pPr>
              <w:jc w:val="center"/>
            </w:pPr>
            <w:r>
              <w:rPr>
                <w:rFonts w:ascii="Times New Roman" w:hAnsi="Times New Roman"/>
                <w:b/>
                <w:sz w:val="15"/>
              </w:rPr>
              <w:t>Accuracy (%)</w:t>
            </w:r>
          </w:p>
        </w:tc>
        <w:tc>
          <w:tcPr>
            <w:tcW w:type="dxa" w:w="1260"/>
          </w:tcPr>
          <w:p>
            <w:pPr>
              <w:jc w:val="center"/>
            </w:pPr>
            <w:r>
              <w:rPr>
                <w:rFonts w:ascii="Times New Roman" w:hAnsi="Times New Roman"/>
                <w:b/>
                <w:sz w:val="15"/>
              </w:rPr>
              <w:t>Precision (%)</w:t>
            </w:r>
          </w:p>
        </w:tc>
        <w:tc>
          <w:tcPr>
            <w:tcW w:type="dxa" w:w="1260"/>
          </w:tcPr>
          <w:p>
            <w:pPr>
              <w:jc w:val="center"/>
            </w:pPr>
            <w:r>
              <w:rPr>
                <w:rFonts w:ascii="Times New Roman" w:hAnsi="Times New Roman"/>
                <w:b/>
                <w:sz w:val="15"/>
              </w:rPr>
              <w:t>Scam Recall (%)</w:t>
            </w:r>
          </w:p>
        </w:tc>
        <w:tc>
          <w:tcPr>
            <w:tcW w:type="dxa" w:w="1260"/>
          </w:tcPr>
          <w:p>
            <w:pPr>
              <w:jc w:val="center"/>
            </w:pPr>
            <w:r>
              <w:rPr>
                <w:rFonts w:ascii="Times New Roman" w:hAnsi="Times New Roman"/>
                <w:b/>
                <w:sz w:val="15"/>
              </w:rPr>
              <w:t>FPR (%)</w:t>
            </w:r>
          </w:p>
        </w:tc>
        <w:tc>
          <w:tcPr>
            <w:tcW w:type="dxa" w:w="1260"/>
          </w:tcPr>
          <w:p>
            <w:pPr>
              <w:jc w:val="center"/>
            </w:pPr>
            <w:r>
              <w:rPr>
                <w:rFonts w:ascii="Times New Roman" w:hAnsi="Times New Roman"/>
                <w:b/>
                <w:sz w:val="15"/>
              </w:rPr>
              <w:t>Latency (ms)</w:t>
            </w:r>
          </w:p>
        </w:tc>
        <w:tc>
          <w:tcPr>
            <w:tcW w:type="dxa" w:w="1260"/>
          </w:tcPr>
          <w:p>
            <w:pPr>
              <w:jc w:val="center"/>
            </w:pPr>
            <w:r>
              <w:rPr>
                <w:rFonts w:ascii="Times New Roman" w:hAnsi="Times New Roman"/>
                <w:b/>
                <w:sz w:val="15"/>
              </w:rPr>
              <w:t>Cost / 1k SMS</w:t>
            </w:r>
          </w:p>
        </w:tc>
        <w:tc>
          <w:tcPr>
            <w:tcW w:type="dxa" w:w="1260"/>
          </w:tcPr>
          <w:p>
            <w:pPr>
              <w:jc w:val="center"/>
            </w:pPr>
            <w:r>
              <w:rPr>
                <w:rFonts w:ascii="Times New Roman" w:hAnsi="Times New Roman"/>
                <w:b/>
                <w:sz w:val="15"/>
              </w:rPr>
              <w:t>Escalation Rate</w:t>
            </w:r>
          </w:p>
        </w:tc>
      </w:tr>
      <w:tr>
        <w:tc>
          <w:tcPr>
            <w:tcW w:type="dxa" w:w="1260"/>
          </w:tcPr>
          <w:p>
            <w:pPr>
              <w:jc w:val="center"/>
            </w:pPr>
            <w:r>
              <w:rPr>
                <w:rFonts w:ascii="Times New Roman" w:hAnsi="Times New Roman"/>
                <w:sz w:val="15"/>
              </w:rPr>
              <w:t>Arm 1: Solo Tier 1 Edge (ViSoBERT)</w:t>
            </w:r>
          </w:p>
        </w:tc>
        <w:tc>
          <w:tcPr>
            <w:tcW w:type="dxa" w:w="1260"/>
          </w:tcPr>
          <w:p>
            <w:pPr>
              <w:jc w:val="center"/>
            </w:pPr>
            <w:r>
              <w:rPr>
                <w:rFonts w:ascii="Times New Roman" w:hAnsi="Times New Roman"/>
                <w:sz w:val="15"/>
              </w:rPr>
              <w:t>96.35%</w:t>
            </w:r>
          </w:p>
        </w:tc>
        <w:tc>
          <w:tcPr>
            <w:tcW w:type="dxa" w:w="1260"/>
          </w:tcPr>
          <w:p>
            <w:pPr>
              <w:jc w:val="center"/>
            </w:pPr>
            <w:r>
              <w:rPr>
                <w:rFonts w:ascii="Times New Roman" w:hAnsi="Times New Roman"/>
                <w:sz w:val="15"/>
              </w:rPr>
              <w:t>96.49%</w:t>
            </w:r>
          </w:p>
        </w:tc>
        <w:tc>
          <w:tcPr>
            <w:tcW w:type="dxa" w:w="1260"/>
          </w:tcPr>
          <w:p>
            <w:pPr>
              <w:jc w:val="center"/>
            </w:pPr>
            <w:r>
              <w:rPr>
                <w:rFonts w:ascii="Times New Roman" w:hAnsi="Times New Roman"/>
                <w:sz w:val="15"/>
              </w:rPr>
              <w:t>95.38%</w:t>
            </w:r>
          </w:p>
        </w:tc>
        <w:tc>
          <w:tcPr>
            <w:tcW w:type="dxa" w:w="1260"/>
          </w:tcPr>
          <w:p>
            <w:pPr>
              <w:jc w:val="center"/>
            </w:pPr>
            <w:r>
              <w:rPr>
                <w:rFonts w:ascii="Times New Roman" w:hAnsi="Times New Roman"/>
                <w:sz w:val="15"/>
              </w:rPr>
              <w:t>2.84%</w:t>
            </w:r>
          </w:p>
        </w:tc>
        <w:tc>
          <w:tcPr>
            <w:tcW w:type="dxa" w:w="1260"/>
          </w:tcPr>
          <w:p>
            <w:pPr>
              <w:jc w:val="center"/>
            </w:pPr>
            <w:r>
              <w:rPr>
                <w:rFonts w:ascii="Times New Roman" w:hAnsi="Times New Roman"/>
                <w:sz w:val="15"/>
              </w:rPr>
              <w:t>70.7 ms</w:t>
            </w:r>
          </w:p>
        </w:tc>
        <w:tc>
          <w:tcPr>
            <w:tcW w:type="dxa" w:w="1260"/>
          </w:tcPr>
          <w:p>
            <w:pPr>
              <w:jc w:val="center"/>
            </w:pPr>
            <w:r>
              <w:rPr>
                <w:rFonts w:ascii="Times New Roman" w:hAnsi="Times New Roman"/>
                <w:sz w:val="15"/>
              </w:rPr>
              <w:t>$0.0000</w:t>
            </w:r>
          </w:p>
        </w:tc>
        <w:tc>
          <w:tcPr>
            <w:tcW w:type="dxa" w:w="1260"/>
          </w:tcPr>
          <w:p>
            <w:pPr>
              <w:jc w:val="center"/>
            </w:pPr>
            <w:r>
              <w:rPr>
                <w:rFonts w:ascii="Times New Roman" w:hAnsi="Times New Roman"/>
                <w:sz w:val="15"/>
              </w:rPr>
              <w:t>0.0%</w:t>
            </w:r>
          </w:p>
        </w:tc>
      </w:tr>
      <w:tr>
        <w:tc>
          <w:tcPr>
            <w:tcW w:type="dxa" w:w="1260"/>
          </w:tcPr>
          <w:p>
            <w:pPr>
              <w:jc w:val="center"/>
            </w:pPr>
            <w:r>
              <w:rPr>
                <w:rFonts w:ascii="Times New Roman" w:hAnsi="Times New Roman"/>
                <w:sz w:val="15"/>
              </w:rPr>
              <w:t>Arm 2: Solo Tier 2 Fast (Gemini Lite)</w:t>
            </w:r>
          </w:p>
        </w:tc>
        <w:tc>
          <w:tcPr>
            <w:tcW w:type="dxa" w:w="1260"/>
          </w:tcPr>
          <w:p>
            <w:pPr>
              <w:jc w:val="center"/>
            </w:pPr>
            <w:r>
              <w:rPr>
                <w:rFonts w:ascii="Times New Roman" w:hAnsi="Times New Roman"/>
                <w:sz w:val="15"/>
              </w:rPr>
              <w:t>97.66%</w:t>
            </w:r>
          </w:p>
        </w:tc>
        <w:tc>
          <w:tcPr>
            <w:tcW w:type="dxa" w:w="1260"/>
          </w:tcPr>
          <w:p>
            <w:pPr>
              <w:jc w:val="center"/>
            </w:pPr>
            <w:r>
              <w:rPr>
                <w:rFonts w:ascii="Times New Roman" w:hAnsi="Times New Roman"/>
                <w:sz w:val="15"/>
              </w:rPr>
              <w:t>95.56%</w:t>
            </w:r>
          </w:p>
        </w:tc>
        <w:tc>
          <w:tcPr>
            <w:tcW w:type="dxa" w:w="1260"/>
          </w:tcPr>
          <w:p>
            <w:pPr>
              <w:jc w:val="center"/>
            </w:pPr>
            <w:r>
              <w:rPr>
                <w:rFonts w:ascii="Times New Roman" w:hAnsi="Times New Roman"/>
                <w:sz w:val="15"/>
              </w:rPr>
              <w:t>99.42%</w:t>
            </w:r>
          </w:p>
        </w:tc>
        <w:tc>
          <w:tcPr>
            <w:tcW w:type="dxa" w:w="1260"/>
          </w:tcPr>
          <w:p>
            <w:pPr>
              <w:jc w:val="center"/>
            </w:pPr>
            <w:r>
              <w:rPr>
                <w:rFonts w:ascii="Times New Roman" w:hAnsi="Times New Roman"/>
                <w:sz w:val="15"/>
              </w:rPr>
              <w:t>3.79%</w:t>
            </w:r>
          </w:p>
        </w:tc>
        <w:tc>
          <w:tcPr>
            <w:tcW w:type="dxa" w:w="1260"/>
          </w:tcPr>
          <w:p>
            <w:pPr>
              <w:jc w:val="center"/>
            </w:pPr>
            <w:r>
              <w:rPr>
                <w:rFonts w:ascii="Times New Roman" w:hAnsi="Times New Roman"/>
                <w:sz w:val="15"/>
              </w:rPr>
              <w:t>1,969.9 ms</w:t>
            </w:r>
          </w:p>
        </w:tc>
        <w:tc>
          <w:tcPr>
            <w:tcW w:type="dxa" w:w="1260"/>
          </w:tcPr>
          <w:p>
            <w:pPr>
              <w:jc w:val="center"/>
            </w:pPr>
            <w:r>
              <w:rPr>
                <w:rFonts w:ascii="Times New Roman" w:hAnsi="Times New Roman"/>
                <w:sz w:val="15"/>
              </w:rPr>
              <w:t>$0.2817</w:t>
            </w:r>
          </w:p>
        </w:tc>
        <w:tc>
          <w:tcPr>
            <w:tcW w:type="dxa" w:w="1260"/>
          </w:tcPr>
          <w:p>
            <w:pPr>
              <w:jc w:val="center"/>
            </w:pPr>
            <w:r>
              <w:rPr>
                <w:rFonts w:ascii="Times New Roman" w:hAnsi="Times New Roman"/>
                <w:sz w:val="15"/>
              </w:rPr>
              <w:t>100.0%</w:t>
            </w:r>
          </w:p>
        </w:tc>
      </w:tr>
      <w:tr>
        <w:tc>
          <w:tcPr>
            <w:tcW w:type="dxa" w:w="1260"/>
          </w:tcPr>
          <w:p>
            <w:pPr>
              <w:jc w:val="center"/>
            </w:pPr>
            <w:r>
              <w:rPr>
                <w:rFonts w:ascii="Times New Roman" w:hAnsi="Times New Roman"/>
                <w:sz w:val="15"/>
              </w:rPr>
              <w:t>Arm 3: Solo Tier 2 SOTA (GPT-6.1-sol)</w:t>
            </w:r>
          </w:p>
        </w:tc>
        <w:tc>
          <w:tcPr>
            <w:tcW w:type="dxa" w:w="1260"/>
          </w:tcPr>
          <w:p>
            <w:pPr>
              <w:jc w:val="center"/>
            </w:pPr>
            <w:r>
              <w:rPr>
                <w:rFonts w:ascii="Times New Roman" w:hAnsi="Times New Roman"/>
                <w:sz w:val="15"/>
              </w:rPr>
              <w:t>99.74%</w:t>
            </w:r>
          </w:p>
        </w:tc>
        <w:tc>
          <w:tcPr>
            <w:tcW w:type="dxa" w:w="1260"/>
          </w:tcPr>
          <w:p>
            <w:pPr>
              <w:jc w:val="center"/>
            </w:pPr>
            <w:r>
              <w:rPr>
                <w:rFonts w:ascii="Times New Roman" w:hAnsi="Times New Roman"/>
                <w:sz w:val="15"/>
              </w:rPr>
              <w:t>100.00%</w:t>
            </w:r>
          </w:p>
        </w:tc>
        <w:tc>
          <w:tcPr>
            <w:tcW w:type="dxa" w:w="1260"/>
          </w:tcPr>
          <w:p>
            <w:pPr>
              <w:jc w:val="center"/>
            </w:pPr>
            <w:r>
              <w:rPr>
                <w:rFonts w:ascii="Times New Roman" w:hAnsi="Times New Roman"/>
                <w:sz w:val="15"/>
              </w:rPr>
              <w:t>99.42%</w:t>
            </w:r>
          </w:p>
        </w:tc>
        <w:tc>
          <w:tcPr>
            <w:tcW w:type="dxa" w:w="1260"/>
          </w:tcPr>
          <w:p>
            <w:pPr>
              <w:jc w:val="center"/>
            </w:pPr>
            <w:r>
              <w:rPr>
                <w:rFonts w:ascii="Times New Roman" w:hAnsi="Times New Roman"/>
                <w:sz w:val="15"/>
              </w:rPr>
              <w:t>0.00%</w:t>
            </w:r>
          </w:p>
        </w:tc>
        <w:tc>
          <w:tcPr>
            <w:tcW w:type="dxa" w:w="1260"/>
          </w:tcPr>
          <w:p>
            <w:pPr>
              <w:jc w:val="center"/>
            </w:pPr>
            <w:r>
              <w:rPr>
                <w:rFonts w:ascii="Times New Roman" w:hAnsi="Times New Roman"/>
                <w:sz w:val="15"/>
              </w:rPr>
              <w:t>5,765.0 ms</w:t>
            </w:r>
          </w:p>
        </w:tc>
        <w:tc>
          <w:tcPr>
            <w:tcW w:type="dxa" w:w="1260"/>
          </w:tcPr>
          <w:p>
            <w:pPr>
              <w:jc w:val="center"/>
            </w:pPr>
            <w:r>
              <w:rPr>
                <w:rFonts w:ascii="Times New Roman" w:hAnsi="Times New Roman"/>
                <w:sz w:val="15"/>
              </w:rPr>
              <w:t>$1.4667</w:t>
            </w:r>
          </w:p>
        </w:tc>
        <w:tc>
          <w:tcPr>
            <w:tcW w:type="dxa" w:w="1260"/>
          </w:tcPr>
          <w:p>
            <w:pPr>
              <w:jc w:val="center"/>
            </w:pPr>
            <w:r>
              <w:rPr>
                <w:rFonts w:ascii="Times New Roman" w:hAnsi="Times New Roman"/>
                <w:sz w:val="15"/>
              </w:rPr>
              <w:t>100.0%</w:t>
            </w:r>
          </w:p>
        </w:tc>
      </w:tr>
      <w:tr>
        <w:tc>
          <w:tcPr>
            <w:tcW w:type="dxa" w:w="1260"/>
          </w:tcPr>
          <w:p>
            <w:pPr>
              <w:jc w:val="center"/>
            </w:pPr>
            <w:r>
              <w:rPr>
                <w:rFonts w:ascii="Times New Roman" w:hAnsi="Times New Roman"/>
                <w:sz w:val="15"/>
              </w:rPr>
              <w:t>Arm 4: Naive Cascaded (Tier 1 + PoLL)</w:t>
            </w:r>
          </w:p>
        </w:tc>
        <w:tc>
          <w:tcPr>
            <w:tcW w:type="dxa" w:w="1260"/>
          </w:tcPr>
          <w:p>
            <w:pPr>
              <w:jc w:val="center"/>
            </w:pPr>
            <w:r>
              <w:rPr>
                <w:rFonts w:ascii="Times New Roman" w:hAnsi="Times New Roman"/>
                <w:sz w:val="15"/>
              </w:rPr>
              <w:t>97.14%</w:t>
            </w:r>
          </w:p>
        </w:tc>
        <w:tc>
          <w:tcPr>
            <w:tcW w:type="dxa" w:w="1260"/>
          </w:tcPr>
          <w:p>
            <w:pPr>
              <w:jc w:val="center"/>
            </w:pPr>
            <w:r>
              <w:rPr>
                <w:rFonts w:ascii="Times New Roman" w:hAnsi="Times New Roman"/>
                <w:sz w:val="15"/>
              </w:rPr>
              <w:t>96.55%</w:t>
            </w:r>
          </w:p>
        </w:tc>
        <w:tc>
          <w:tcPr>
            <w:tcW w:type="dxa" w:w="1260"/>
          </w:tcPr>
          <w:p>
            <w:pPr>
              <w:jc w:val="center"/>
            </w:pPr>
            <w:r>
              <w:rPr>
                <w:rFonts w:ascii="Times New Roman" w:hAnsi="Times New Roman"/>
                <w:sz w:val="15"/>
              </w:rPr>
              <w:t>97.11%</w:t>
            </w:r>
          </w:p>
        </w:tc>
        <w:tc>
          <w:tcPr>
            <w:tcW w:type="dxa" w:w="1260"/>
          </w:tcPr>
          <w:p>
            <w:pPr>
              <w:jc w:val="center"/>
            </w:pPr>
            <w:r>
              <w:rPr>
                <w:rFonts w:ascii="Times New Roman" w:hAnsi="Times New Roman"/>
                <w:sz w:val="15"/>
              </w:rPr>
              <w:t>2.84%</w:t>
            </w:r>
          </w:p>
        </w:tc>
        <w:tc>
          <w:tcPr>
            <w:tcW w:type="dxa" w:w="1260"/>
          </w:tcPr>
          <w:p>
            <w:pPr>
              <w:jc w:val="center"/>
            </w:pPr>
            <w:r>
              <w:rPr>
                <w:rFonts w:ascii="Times New Roman" w:hAnsi="Times New Roman"/>
                <w:sz w:val="15"/>
              </w:rPr>
              <w:t>717.8 ms</w:t>
            </w:r>
          </w:p>
        </w:tc>
        <w:tc>
          <w:tcPr>
            <w:tcW w:type="dxa" w:w="1260"/>
          </w:tcPr>
          <w:p>
            <w:pPr>
              <w:jc w:val="center"/>
            </w:pPr>
            <w:r>
              <w:rPr>
                <w:rFonts w:ascii="Times New Roman" w:hAnsi="Times New Roman"/>
                <w:sz w:val="15"/>
              </w:rPr>
              <w:t>$0.0541</w:t>
            </w:r>
          </w:p>
        </w:tc>
        <w:tc>
          <w:tcPr>
            <w:tcW w:type="dxa" w:w="1260"/>
          </w:tcPr>
          <w:p>
            <w:pPr>
              <w:jc w:val="center"/>
            </w:pPr>
            <w:r>
              <w:rPr>
                <w:rFonts w:ascii="Times New Roman" w:hAnsi="Times New Roman"/>
                <w:sz w:val="15"/>
              </w:rPr>
              <w:t>3.4%</w:t>
            </w:r>
          </w:p>
        </w:tc>
      </w:tr>
      <w:tr>
        <w:tc>
          <w:tcPr>
            <w:tcW w:type="dxa" w:w="1260"/>
          </w:tcPr>
          <w:p>
            <w:pPr>
              <w:jc w:val="center"/>
            </w:pPr>
            <w:r>
              <w:rPr>
                <w:rFonts w:ascii="Times New Roman" w:hAnsi="Times New Roman"/>
                <w:sz w:val="15"/>
              </w:rPr>
              <w:t>Arm 5: Proposed ScamShield (Two-Tier)</w:t>
            </w:r>
          </w:p>
        </w:tc>
        <w:tc>
          <w:tcPr>
            <w:tcW w:type="dxa" w:w="1260"/>
          </w:tcPr>
          <w:p>
            <w:pPr>
              <w:jc w:val="center"/>
            </w:pPr>
            <w:r>
              <w:rPr>
                <w:rFonts w:ascii="Times New Roman" w:hAnsi="Times New Roman"/>
                <w:sz w:val="15"/>
              </w:rPr>
              <w:t>97.40%</w:t>
            </w:r>
          </w:p>
        </w:tc>
        <w:tc>
          <w:tcPr>
            <w:tcW w:type="dxa" w:w="1260"/>
          </w:tcPr>
          <w:p>
            <w:pPr>
              <w:jc w:val="center"/>
            </w:pPr>
            <w:r>
              <w:rPr>
                <w:rFonts w:ascii="Times New Roman" w:hAnsi="Times New Roman"/>
                <w:sz w:val="15"/>
              </w:rPr>
              <w:t>97.11%</w:t>
            </w:r>
          </w:p>
        </w:tc>
        <w:tc>
          <w:tcPr>
            <w:tcW w:type="dxa" w:w="1260"/>
          </w:tcPr>
          <w:p>
            <w:pPr>
              <w:jc w:val="center"/>
            </w:pPr>
            <w:r>
              <w:rPr>
                <w:rFonts w:ascii="Times New Roman" w:hAnsi="Times New Roman"/>
                <w:sz w:val="15"/>
              </w:rPr>
              <w:t>97.11%</w:t>
            </w:r>
          </w:p>
        </w:tc>
        <w:tc>
          <w:tcPr>
            <w:tcW w:type="dxa" w:w="1260"/>
          </w:tcPr>
          <w:p>
            <w:pPr>
              <w:jc w:val="center"/>
            </w:pPr>
            <w:r>
              <w:rPr>
                <w:rFonts w:ascii="Times New Roman" w:hAnsi="Times New Roman"/>
                <w:sz w:val="15"/>
              </w:rPr>
              <w:t>2.37%</w:t>
            </w:r>
          </w:p>
        </w:tc>
        <w:tc>
          <w:tcPr>
            <w:tcW w:type="dxa" w:w="1260"/>
          </w:tcPr>
          <w:p>
            <w:pPr>
              <w:jc w:val="center"/>
            </w:pPr>
            <w:r>
              <w:rPr>
                <w:rFonts w:ascii="Times New Roman" w:hAnsi="Times New Roman"/>
                <w:sz w:val="15"/>
              </w:rPr>
              <w:t>267.5 ms</w:t>
            </w:r>
          </w:p>
        </w:tc>
        <w:tc>
          <w:tcPr>
            <w:tcW w:type="dxa" w:w="1260"/>
          </w:tcPr>
          <w:p>
            <w:pPr>
              <w:jc w:val="center"/>
            </w:pPr>
            <w:r>
              <w:rPr>
                <w:rFonts w:ascii="Times New Roman" w:hAnsi="Times New Roman"/>
                <w:sz w:val="15"/>
              </w:rPr>
              <w:t>$0.0153</w:t>
            </w:r>
          </w:p>
        </w:tc>
        <w:tc>
          <w:tcPr>
            <w:tcW w:type="dxa" w:w="1260"/>
          </w:tcPr>
          <w:p>
            <w:pPr>
              <w:jc w:val="center"/>
            </w:pPr>
            <w:r>
              <w:rPr>
                <w:rFonts w:ascii="Times New Roman" w:hAnsi="Times New Roman"/>
                <w:sz w:val="15"/>
              </w:rPr>
              <w:t>3.4%</w:t>
            </w:r>
          </w:p>
        </w:tc>
      </w:tr>
    </w:tbl>
    <w:p>
      <w:pPr>
        <w:spacing w:after="60" w:line="252" w:lineRule="auto"/>
        <w:ind w:firstLine="216"/>
        <w:jc w:val="both"/>
      </w:pPr>
      <w:r>
        <w:rPr>
          <w:rFonts w:ascii="Times New Roman" w:hAnsi="Times New Roman"/>
          <w:sz w:val="18"/>
        </w:rPr>
        <w:t>The proposed two-tier cascade (Arm 5) resolves $96.6\%$ of incoming messages locally at the edge, escalating only $3.4\%$ to Tier 2. It achieves $97.40\%$ accuracy, $97.11\%$ recall, and $2.37\%$ FPR, while reducing latency to $267.5\text{ ms}$ and reducing operational expenditure to $\$0.0153$ marginal cloud cost per 1,000 messages ($98.9\%$ cost saving compared to full cloud deployment).</w:t>
      </w:r>
    </w:p>
    <w:p>
      <w:pPr>
        <w:spacing w:before="160" w:after="60"/>
        <w:jc w:val="center"/>
      </w:pPr>
      <w:r>
        <w:rPr>
          <w:rFonts w:ascii="Times New Roman" w:hAnsi="Times New Roman"/>
          <w:b/>
          <w:sz w:val="17"/>
        </w:rPr>
        <w:t>TABLE VI. ROUTING THRESHOLD SENSITIVITY AND PARETO OPTIMIZATION ACROSS tau in [0.70, 0.95]</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pPr>
              <w:jc w:val="center"/>
            </w:pPr>
            <w:r>
              <w:rPr>
                <w:rFonts w:ascii="Times New Roman" w:hAnsi="Times New Roman"/>
                <w:b/>
                <w:sz w:val="15"/>
              </w:rPr>
              <w:t>Threshold tau</w:t>
            </w:r>
          </w:p>
        </w:tc>
        <w:tc>
          <w:tcPr>
            <w:tcW w:type="dxa" w:w="1440"/>
          </w:tcPr>
          <w:p>
            <w:pPr>
              <w:jc w:val="center"/>
            </w:pPr>
            <w:r>
              <w:rPr>
                <w:rFonts w:ascii="Times New Roman" w:hAnsi="Times New Roman"/>
                <w:b/>
                <w:sz w:val="15"/>
              </w:rPr>
              <w:t>Accuracy (%)</w:t>
            </w:r>
          </w:p>
        </w:tc>
        <w:tc>
          <w:tcPr>
            <w:tcW w:type="dxa" w:w="1440"/>
          </w:tcPr>
          <w:p>
            <w:pPr>
              <w:jc w:val="center"/>
            </w:pPr>
            <w:r>
              <w:rPr>
                <w:rFonts w:ascii="Times New Roman" w:hAnsi="Times New Roman"/>
                <w:b/>
                <w:sz w:val="15"/>
              </w:rPr>
              <w:t>Recall (%)</w:t>
            </w:r>
          </w:p>
        </w:tc>
        <w:tc>
          <w:tcPr>
            <w:tcW w:type="dxa" w:w="1440"/>
          </w:tcPr>
          <w:p>
            <w:pPr>
              <w:jc w:val="center"/>
            </w:pPr>
            <w:r>
              <w:rPr>
                <w:rFonts w:ascii="Times New Roman" w:hAnsi="Times New Roman"/>
                <w:b/>
                <w:sz w:val="15"/>
              </w:rPr>
              <w:t>FPR (%)</w:t>
            </w:r>
          </w:p>
        </w:tc>
        <w:tc>
          <w:tcPr>
            <w:tcW w:type="dxa" w:w="1440"/>
          </w:tcPr>
          <w:p>
            <w:pPr>
              <w:jc w:val="center"/>
            </w:pPr>
            <w:r>
              <w:rPr>
                <w:rFonts w:ascii="Times New Roman" w:hAnsi="Times New Roman"/>
                <w:b/>
                <w:sz w:val="15"/>
              </w:rPr>
              <w:t>Latency (ms)</w:t>
            </w:r>
          </w:p>
        </w:tc>
        <w:tc>
          <w:tcPr>
            <w:tcW w:type="dxa" w:w="1440"/>
          </w:tcPr>
          <w:p>
            <w:pPr>
              <w:jc w:val="center"/>
            </w:pPr>
            <w:r>
              <w:rPr>
                <w:rFonts w:ascii="Times New Roman" w:hAnsi="Times New Roman"/>
                <w:b/>
                <w:sz w:val="15"/>
              </w:rPr>
              <w:t>Cost / 1k SMS</w:t>
            </w:r>
          </w:p>
        </w:tc>
        <w:tc>
          <w:tcPr>
            <w:tcW w:type="dxa" w:w="1440"/>
          </w:tcPr>
          <w:p>
            <w:pPr>
              <w:jc w:val="center"/>
            </w:pPr>
            <w:r>
              <w:rPr>
                <w:rFonts w:ascii="Times New Roman" w:hAnsi="Times New Roman"/>
                <w:b/>
                <w:sz w:val="15"/>
              </w:rPr>
              <w:t>Escalation (%)</w:t>
            </w:r>
          </w:p>
        </w:tc>
      </w:tr>
      <w:tr>
        <w:tc>
          <w:tcPr>
            <w:tcW w:type="dxa" w:w="1440"/>
          </w:tcPr>
          <w:p>
            <w:pPr>
              <w:jc w:val="center"/>
            </w:pPr>
            <w:r>
              <w:rPr>
                <w:rFonts w:ascii="Times New Roman" w:hAnsi="Times New Roman"/>
                <w:sz w:val="15"/>
              </w:rPr>
              <w:t>tau = 0.70</w:t>
            </w:r>
          </w:p>
        </w:tc>
        <w:tc>
          <w:tcPr>
            <w:tcW w:type="dxa" w:w="1440"/>
          </w:tcPr>
          <w:p>
            <w:pPr>
              <w:jc w:val="center"/>
            </w:pPr>
            <w:r>
              <w:rPr>
                <w:rFonts w:ascii="Times New Roman" w:hAnsi="Times New Roman"/>
                <w:sz w:val="15"/>
              </w:rPr>
              <w:t>96.35%</w:t>
            </w:r>
          </w:p>
        </w:tc>
        <w:tc>
          <w:tcPr>
            <w:tcW w:type="dxa" w:w="1440"/>
          </w:tcPr>
          <w:p>
            <w:pPr>
              <w:jc w:val="center"/>
            </w:pPr>
            <w:r>
              <w:rPr>
                <w:rFonts w:ascii="Times New Roman" w:hAnsi="Times New Roman"/>
                <w:sz w:val="15"/>
              </w:rPr>
              <w:t>95.38%</w:t>
            </w:r>
          </w:p>
        </w:tc>
        <w:tc>
          <w:tcPr>
            <w:tcW w:type="dxa" w:w="1440"/>
          </w:tcPr>
          <w:p>
            <w:pPr>
              <w:jc w:val="center"/>
            </w:pPr>
            <w:r>
              <w:rPr>
                <w:rFonts w:ascii="Times New Roman" w:hAnsi="Times New Roman"/>
                <w:sz w:val="15"/>
              </w:rPr>
              <w:t>2.84%</w:t>
            </w:r>
          </w:p>
        </w:tc>
        <w:tc>
          <w:tcPr>
            <w:tcW w:type="dxa" w:w="1440"/>
          </w:tcPr>
          <w:p>
            <w:pPr>
              <w:jc w:val="center"/>
            </w:pPr>
            <w:r>
              <w:rPr>
                <w:rFonts w:ascii="Times New Roman" w:hAnsi="Times New Roman"/>
                <w:sz w:val="15"/>
              </w:rPr>
              <w:t>99.5 ms</w:t>
            </w:r>
          </w:p>
        </w:tc>
        <w:tc>
          <w:tcPr>
            <w:tcW w:type="dxa" w:w="1440"/>
          </w:tcPr>
          <w:p>
            <w:pPr>
              <w:jc w:val="center"/>
            </w:pPr>
            <w:r>
              <w:rPr>
                <w:rFonts w:ascii="Times New Roman" w:hAnsi="Times New Roman"/>
                <w:sz w:val="15"/>
              </w:rPr>
              <w:t>$0.0023</w:t>
            </w:r>
          </w:p>
        </w:tc>
        <w:tc>
          <w:tcPr>
            <w:tcW w:type="dxa" w:w="1440"/>
          </w:tcPr>
          <w:p>
            <w:pPr>
              <w:jc w:val="center"/>
            </w:pPr>
            <w:r>
              <w:rPr>
                <w:rFonts w:ascii="Times New Roman" w:hAnsi="Times New Roman"/>
                <w:sz w:val="15"/>
              </w:rPr>
              <w:t>0.5%</w:t>
            </w:r>
          </w:p>
        </w:tc>
      </w:tr>
      <w:tr>
        <w:tc>
          <w:tcPr>
            <w:tcW w:type="dxa" w:w="1440"/>
          </w:tcPr>
          <w:p>
            <w:pPr>
              <w:jc w:val="center"/>
            </w:pPr>
            <w:r>
              <w:rPr>
                <w:rFonts w:ascii="Times New Roman" w:hAnsi="Times New Roman"/>
                <w:sz w:val="15"/>
              </w:rPr>
              <w:t>tau = 0.80</w:t>
            </w:r>
          </w:p>
        </w:tc>
        <w:tc>
          <w:tcPr>
            <w:tcW w:type="dxa" w:w="1440"/>
          </w:tcPr>
          <w:p>
            <w:pPr>
              <w:jc w:val="center"/>
            </w:pPr>
            <w:r>
              <w:rPr>
                <w:rFonts w:ascii="Times New Roman" w:hAnsi="Times New Roman"/>
                <w:sz w:val="15"/>
              </w:rPr>
              <w:t>96.61%</w:t>
            </w:r>
          </w:p>
        </w:tc>
        <w:tc>
          <w:tcPr>
            <w:tcW w:type="dxa" w:w="1440"/>
          </w:tcPr>
          <w:p>
            <w:pPr>
              <w:jc w:val="center"/>
            </w:pPr>
            <w:r>
              <w:rPr>
                <w:rFonts w:ascii="Times New Roman" w:hAnsi="Times New Roman"/>
                <w:sz w:val="15"/>
              </w:rPr>
              <w:t>95.38%</w:t>
            </w:r>
          </w:p>
        </w:tc>
        <w:tc>
          <w:tcPr>
            <w:tcW w:type="dxa" w:w="1440"/>
          </w:tcPr>
          <w:p>
            <w:pPr>
              <w:jc w:val="center"/>
            </w:pPr>
            <w:r>
              <w:rPr>
                <w:rFonts w:ascii="Times New Roman" w:hAnsi="Times New Roman"/>
                <w:sz w:val="15"/>
              </w:rPr>
              <w:t>2.37%</w:t>
            </w:r>
          </w:p>
        </w:tc>
        <w:tc>
          <w:tcPr>
            <w:tcW w:type="dxa" w:w="1440"/>
          </w:tcPr>
          <w:p>
            <w:pPr>
              <w:jc w:val="center"/>
            </w:pPr>
            <w:r>
              <w:rPr>
                <w:rFonts w:ascii="Times New Roman" w:hAnsi="Times New Roman"/>
                <w:sz w:val="15"/>
              </w:rPr>
              <w:t>148.5 ms</w:t>
            </w:r>
          </w:p>
        </w:tc>
        <w:tc>
          <w:tcPr>
            <w:tcW w:type="dxa" w:w="1440"/>
          </w:tcPr>
          <w:p>
            <w:pPr>
              <w:jc w:val="center"/>
            </w:pPr>
            <w:r>
              <w:rPr>
                <w:rFonts w:ascii="Times New Roman" w:hAnsi="Times New Roman"/>
                <w:sz w:val="15"/>
              </w:rPr>
              <w:t>$0.0072</w:t>
            </w:r>
          </w:p>
        </w:tc>
        <w:tc>
          <w:tcPr>
            <w:tcW w:type="dxa" w:w="1440"/>
          </w:tcPr>
          <w:p>
            <w:pPr>
              <w:jc w:val="center"/>
            </w:pPr>
            <w:r>
              <w:rPr>
                <w:rFonts w:ascii="Times New Roman" w:hAnsi="Times New Roman"/>
                <w:sz w:val="15"/>
              </w:rPr>
              <w:t>1.6%</w:t>
            </w:r>
          </w:p>
        </w:tc>
      </w:tr>
      <w:tr>
        <w:tc>
          <w:tcPr>
            <w:tcW w:type="dxa" w:w="1440"/>
          </w:tcPr>
          <w:p>
            <w:pPr>
              <w:jc w:val="center"/>
            </w:pPr>
            <w:r>
              <w:rPr>
                <w:rFonts w:ascii="Times New Roman" w:hAnsi="Times New Roman"/>
                <w:sz w:val="15"/>
              </w:rPr>
              <w:t>tau = 0.85</w:t>
            </w:r>
          </w:p>
        </w:tc>
        <w:tc>
          <w:tcPr>
            <w:tcW w:type="dxa" w:w="1440"/>
          </w:tcPr>
          <w:p>
            <w:pPr>
              <w:jc w:val="center"/>
            </w:pPr>
            <w:r>
              <w:rPr>
                <w:rFonts w:ascii="Times New Roman" w:hAnsi="Times New Roman"/>
                <w:sz w:val="15"/>
              </w:rPr>
              <w:t>97.14%</w:t>
            </w:r>
          </w:p>
        </w:tc>
        <w:tc>
          <w:tcPr>
            <w:tcW w:type="dxa" w:w="1440"/>
          </w:tcPr>
          <w:p>
            <w:pPr>
              <w:jc w:val="center"/>
            </w:pPr>
            <w:r>
              <w:rPr>
                <w:rFonts w:ascii="Times New Roman" w:hAnsi="Times New Roman"/>
                <w:sz w:val="15"/>
              </w:rPr>
              <w:t>96.53%</w:t>
            </w:r>
          </w:p>
        </w:tc>
        <w:tc>
          <w:tcPr>
            <w:tcW w:type="dxa" w:w="1440"/>
          </w:tcPr>
          <w:p>
            <w:pPr>
              <w:jc w:val="center"/>
            </w:pPr>
            <w:r>
              <w:rPr>
                <w:rFonts w:ascii="Times New Roman" w:hAnsi="Times New Roman"/>
                <w:sz w:val="15"/>
              </w:rPr>
              <w:t>2.37%</w:t>
            </w:r>
          </w:p>
        </w:tc>
        <w:tc>
          <w:tcPr>
            <w:tcW w:type="dxa" w:w="1440"/>
          </w:tcPr>
          <w:p>
            <w:pPr>
              <w:jc w:val="center"/>
            </w:pPr>
            <w:r>
              <w:rPr>
                <w:rFonts w:ascii="Times New Roman" w:hAnsi="Times New Roman"/>
                <w:sz w:val="15"/>
              </w:rPr>
              <w:t>223.9 ms</w:t>
            </w:r>
          </w:p>
        </w:tc>
        <w:tc>
          <w:tcPr>
            <w:tcW w:type="dxa" w:w="1440"/>
          </w:tcPr>
          <w:p>
            <w:pPr>
              <w:jc w:val="center"/>
            </w:pPr>
            <w:r>
              <w:rPr>
                <w:rFonts w:ascii="Times New Roman" w:hAnsi="Times New Roman"/>
                <w:sz w:val="15"/>
              </w:rPr>
              <w:t>$0.0117</w:t>
            </w:r>
          </w:p>
        </w:tc>
        <w:tc>
          <w:tcPr>
            <w:tcW w:type="dxa" w:w="1440"/>
          </w:tcPr>
          <w:p>
            <w:pPr>
              <w:jc w:val="center"/>
            </w:pPr>
            <w:r>
              <w:rPr>
                <w:rFonts w:ascii="Times New Roman" w:hAnsi="Times New Roman"/>
                <w:sz w:val="15"/>
              </w:rPr>
              <w:t>2.6%</w:t>
            </w:r>
          </w:p>
        </w:tc>
      </w:tr>
      <w:tr>
        <w:tc>
          <w:tcPr>
            <w:tcW w:type="dxa" w:w="1440"/>
          </w:tcPr>
          <w:p>
            <w:pPr>
              <w:jc w:val="center"/>
            </w:pPr>
            <w:r>
              <w:rPr>
                <w:rFonts w:ascii="Times New Roman" w:hAnsi="Times New Roman"/>
                <w:sz w:val="15"/>
              </w:rPr>
              <w:t>tau = 0.90</w:t>
            </w:r>
          </w:p>
        </w:tc>
        <w:tc>
          <w:tcPr>
            <w:tcW w:type="dxa" w:w="1440"/>
          </w:tcPr>
          <w:p>
            <w:pPr>
              <w:jc w:val="center"/>
            </w:pPr>
            <w:r>
              <w:rPr>
                <w:rFonts w:ascii="Times New Roman" w:hAnsi="Times New Roman"/>
                <w:sz w:val="15"/>
              </w:rPr>
              <w:t>97.40%</w:t>
            </w:r>
          </w:p>
        </w:tc>
        <w:tc>
          <w:tcPr>
            <w:tcW w:type="dxa" w:w="1440"/>
          </w:tcPr>
          <w:p>
            <w:pPr>
              <w:jc w:val="center"/>
            </w:pPr>
            <w:r>
              <w:rPr>
                <w:rFonts w:ascii="Times New Roman" w:hAnsi="Times New Roman"/>
                <w:sz w:val="15"/>
              </w:rPr>
              <w:t>97.11%</w:t>
            </w:r>
          </w:p>
        </w:tc>
        <w:tc>
          <w:tcPr>
            <w:tcW w:type="dxa" w:w="1440"/>
          </w:tcPr>
          <w:p>
            <w:pPr>
              <w:jc w:val="center"/>
            </w:pPr>
            <w:r>
              <w:rPr>
                <w:rFonts w:ascii="Times New Roman" w:hAnsi="Times New Roman"/>
                <w:sz w:val="15"/>
              </w:rPr>
              <w:t>2.37%</w:t>
            </w:r>
          </w:p>
        </w:tc>
        <w:tc>
          <w:tcPr>
            <w:tcW w:type="dxa" w:w="1440"/>
          </w:tcPr>
          <w:p>
            <w:pPr>
              <w:jc w:val="center"/>
            </w:pPr>
            <w:r>
              <w:rPr>
                <w:rFonts w:ascii="Times New Roman" w:hAnsi="Times New Roman"/>
                <w:sz w:val="15"/>
              </w:rPr>
              <w:t>267.5 ms</w:t>
            </w:r>
          </w:p>
        </w:tc>
        <w:tc>
          <w:tcPr>
            <w:tcW w:type="dxa" w:w="1440"/>
          </w:tcPr>
          <w:p>
            <w:pPr>
              <w:jc w:val="center"/>
            </w:pPr>
            <w:r>
              <w:rPr>
                <w:rFonts w:ascii="Times New Roman" w:hAnsi="Times New Roman"/>
                <w:sz w:val="15"/>
              </w:rPr>
              <w:t>$0.0153</w:t>
            </w:r>
          </w:p>
        </w:tc>
        <w:tc>
          <w:tcPr>
            <w:tcW w:type="dxa" w:w="1440"/>
          </w:tcPr>
          <w:p>
            <w:pPr>
              <w:jc w:val="center"/>
            </w:pPr>
            <w:r>
              <w:rPr>
                <w:rFonts w:ascii="Times New Roman" w:hAnsi="Times New Roman"/>
                <w:sz w:val="15"/>
              </w:rPr>
              <w:t>3.4%</w:t>
            </w:r>
          </w:p>
        </w:tc>
      </w:tr>
      <w:tr>
        <w:tc>
          <w:tcPr>
            <w:tcW w:type="dxa" w:w="1440"/>
          </w:tcPr>
          <w:p>
            <w:pPr>
              <w:jc w:val="center"/>
            </w:pPr>
            <w:r>
              <w:rPr>
                <w:rFonts w:ascii="Times New Roman" w:hAnsi="Times New Roman"/>
                <w:sz w:val="15"/>
              </w:rPr>
              <w:t>tau = 0.95</w:t>
            </w:r>
          </w:p>
        </w:tc>
        <w:tc>
          <w:tcPr>
            <w:tcW w:type="dxa" w:w="1440"/>
          </w:tcPr>
          <w:p>
            <w:pPr>
              <w:jc w:val="center"/>
            </w:pPr>
            <w:r>
              <w:rPr>
                <w:rFonts w:ascii="Times New Roman" w:hAnsi="Times New Roman"/>
                <w:sz w:val="15"/>
              </w:rPr>
              <w:t>97.92%</w:t>
            </w:r>
          </w:p>
        </w:tc>
        <w:tc>
          <w:tcPr>
            <w:tcW w:type="dxa" w:w="1440"/>
          </w:tcPr>
          <w:p>
            <w:pPr>
              <w:jc w:val="center"/>
            </w:pPr>
            <w:r>
              <w:rPr>
                <w:rFonts w:ascii="Times New Roman" w:hAnsi="Times New Roman"/>
                <w:sz w:val="15"/>
              </w:rPr>
              <w:t>97.11%</w:t>
            </w:r>
          </w:p>
        </w:tc>
        <w:tc>
          <w:tcPr>
            <w:tcW w:type="dxa" w:w="1440"/>
          </w:tcPr>
          <w:p>
            <w:pPr>
              <w:jc w:val="center"/>
            </w:pPr>
            <w:r>
              <w:rPr>
                <w:rFonts w:ascii="Times New Roman" w:hAnsi="Times New Roman"/>
                <w:sz w:val="15"/>
              </w:rPr>
              <w:t>1.42%</w:t>
            </w:r>
          </w:p>
        </w:tc>
        <w:tc>
          <w:tcPr>
            <w:tcW w:type="dxa" w:w="1440"/>
          </w:tcPr>
          <w:p>
            <w:pPr>
              <w:jc w:val="center"/>
            </w:pPr>
            <w:r>
              <w:rPr>
                <w:rFonts w:ascii="Times New Roman" w:hAnsi="Times New Roman"/>
                <w:sz w:val="15"/>
              </w:rPr>
              <w:t>668.2 ms</w:t>
            </w:r>
          </w:p>
        </w:tc>
        <w:tc>
          <w:tcPr>
            <w:tcW w:type="dxa" w:w="1440"/>
          </w:tcPr>
          <w:p>
            <w:pPr>
              <w:jc w:val="center"/>
            </w:pPr>
            <w:r>
              <w:rPr>
                <w:rFonts w:ascii="Times New Roman" w:hAnsi="Times New Roman"/>
                <w:sz w:val="15"/>
              </w:rPr>
              <w:t>$0.0410</w:t>
            </w:r>
          </w:p>
        </w:tc>
        <w:tc>
          <w:tcPr>
            <w:tcW w:type="dxa" w:w="1440"/>
          </w:tcPr>
          <w:p>
            <w:pPr>
              <w:jc w:val="center"/>
            </w:pPr>
            <w:r>
              <w:rPr>
                <w:rFonts w:ascii="Times New Roman" w:hAnsi="Times New Roman"/>
                <w:sz w:val="15"/>
              </w:rPr>
              <w:t>9.1%</w:t>
            </w:r>
          </w:p>
        </w:tc>
      </w:tr>
    </w:tbl>
    <w:p>
      <w:pPr>
        <w:spacing w:after="60" w:line="252" w:lineRule="auto"/>
        <w:ind w:firstLine="216"/>
        <w:jc w:val="both"/>
      </w:pPr>
      <w:r>
        <w:rPr>
          <w:rFonts w:ascii="Times New Roman" w:hAnsi="Times New Roman"/>
          <w:sz w:val="18"/>
        </w:rPr>
        <w:t>TABLE VI illustrates the threshold sensitivity trade-off. The knee of the Pareto curve occurs at $\mathbf{\tau = 0.90}$, capturing maximal recall gains before latency escalates.</w:t>
      </w:r>
    </w:p>
    <w:p>
      <w:pPr>
        <w:spacing w:before="160" w:after="60"/>
      </w:pPr>
      <w:r>
        <w:rPr>
          <w:rFonts w:ascii="Times New Roman" w:hAnsi="Times New Roman"/>
          <w:b/>
          <w:sz w:val="19"/>
        </w:rPr>
        <w:t>D. Discussion of Scientific Pillars</w:t>
      </w:r>
    </w:p>
    <w:p>
      <w:pPr>
        <w:spacing w:before="120" w:after="40"/>
      </w:pPr>
      <w:r>
        <w:rPr>
          <w:rFonts w:ascii="Times New Roman" w:hAnsi="Times New Roman"/>
          <w:i/>
          <w:sz w:val="18"/>
        </w:rPr>
        <w:t>1. Correlated Error Mitigation and Rejection of Condorcet Jury Theorem</w:t>
      </w:r>
    </w:p>
    <w:p>
      <w:pPr>
        <w:spacing w:after="60" w:line="252" w:lineRule="auto"/>
        <w:ind w:firstLine="216"/>
        <w:jc w:val="both"/>
      </w:pPr>
      <w:r>
        <w:rPr>
          <w:rFonts w:ascii="Times New Roman" w:hAnsi="Times New Roman"/>
          <w:sz w:val="18"/>
        </w:rPr>
        <w:t>A central conceptual hazard in multi-agent LLM systems is the inappropriate application of the Condorcet Jury Theorem. Condorcet's theorem guarantees that majority voting among $m$ agents converges to an error rate of zero as $m \to \infty$, under the strict assumption that individual voter decisions are statistically independent: $P(E_i \cap E_j) = P(E_i)P(E_j)$.</w:t>
      </w:r>
    </w:p>
    <w:p>
      <w:pPr>
        <w:spacing w:after="60" w:line="252" w:lineRule="auto"/>
        <w:ind w:firstLine="216"/>
        <w:jc w:val="both"/>
      </w:pPr>
      <w:r>
        <w:rPr>
          <w:rFonts w:ascii="Times New Roman" w:hAnsi="Times New Roman"/>
          <w:sz w:val="18"/>
        </w:rPr>
        <w:t>However, recent empirical findings by Kim et al. [30] and Smit et al. [31] demonstrated that foundation LLMs share overlapping training corpora, inducing strong correlated failure modes ($&gt;60\%$ co-failure on deceptive adversarial inputs). Under correlated error distributions, Ladha [29] proved that increasing agent count fails to guarantee asymptotic convergence and can amplify collective bias. This theoretical limitation explains why naive majority voting (Arm 4 in TABLE V) yielded a higher FPR ($2.84\%$) than our proposed architecture. ScamShield-VN overcomes correlated failure not through homogeneous voting, but through deliberate adversarial role specialization: Seat C (Public Defender) is explicitly incentivized to seek counter-evidence against threat hypotheses, breaking error correlation on legitimate transactional messages.</w:t>
      </w:r>
    </w:p>
    <w:p>
      <w:pPr>
        <w:spacing w:before="120" w:after="40"/>
      </w:pPr>
      <w:r>
        <w:rPr>
          <w:rFonts w:ascii="Times New Roman" w:hAnsi="Times New Roman"/>
          <w:i/>
          <w:sz w:val="18"/>
        </w:rPr>
        <w:t>2. Neutralizing the Alarm Fatigue Phenomenon</w:t>
      </w:r>
    </w:p>
    <w:p>
      <w:pPr>
        <w:spacing w:after="60" w:line="252" w:lineRule="auto"/>
        <w:ind w:firstLine="216"/>
        <w:jc w:val="both"/>
      </w:pPr>
      <w:r>
        <w:rPr>
          <w:rFonts w:ascii="Times New Roman" w:hAnsi="Times New Roman"/>
          <w:sz w:val="18"/>
        </w:rPr>
        <w:t>Commercial LLMs operating as solitary screeners exhibit catastrophic false-alarm rates ($35.53\%$ FAR on Gemini 3.5 Flash) due to hyper-vigilance toward urgency markers and URLs. In human-factors security, chronic false alarms induce _alarm fatigue_, conditioning mobile users to distrust or disable security applications. The introduction of the Public Defender's $-0.25$ veto completely neutralized this failure mode, achieving $0.00\%$ FPR on authentic banking OTPs in the forensic challenge suite.</w:t>
      </w:r>
    </w:p>
    <w:p>
      <w:pPr>
        <w:spacing w:before="120" w:after="40"/>
      </w:pPr>
      <w:r>
        <w:rPr>
          <w:rFonts w:ascii="Times New Roman" w:hAnsi="Times New Roman"/>
          <w:i/>
          <w:sz w:val="18"/>
        </w:rPr>
        <w:t>3. Failure of Parameter Scaling Without Asymmetric Loss</w:t>
      </w:r>
    </w:p>
    <w:p>
      <w:pPr>
        <w:spacing w:after="60" w:line="252" w:lineRule="auto"/>
        <w:ind w:firstLine="216"/>
        <w:jc w:val="both"/>
      </w:pPr>
      <w:r>
        <w:rPr>
          <w:rFonts w:ascii="Times New Roman" w:hAnsi="Times New Roman"/>
          <w:sz w:val="18"/>
        </w:rPr>
        <w:t>Our benchmarks demonstrate that increasing model parameters cannot substitute for an asymmetric loss formulation. PhoBERT-large contains 370M parameters ($3.4\times$ larger than ViSoBERT) and required $3.45\times$ more training time ($1,457.7\text{ s}$ vs. $422.2\text{ s}$), yet missed $3.29\%$ more scams ($92.33\%$ vs. $95.62\%$). ViSoBERT's domain-specific pre-training on 1 GB of uncompressed Vietnamese social media text, combined with $\mathcal{L}_{\text{WBCE}}$ ($\alpha=5.0$), proved far more impactful than raw parameter scaling.</w:t>
      </w:r>
    </w:p>
    <w:p>
      <w:pPr>
        <w:spacing w:before="120" w:after="40"/>
      </w:pPr>
      <w:r>
        <w:rPr>
          <w:rFonts w:ascii="Times New Roman" w:hAnsi="Times New Roman"/>
          <w:i/>
          <w:sz w:val="18"/>
        </w:rPr>
        <w:t>4. Data Privacy and Safety-First Verdict Protocol</w:t>
      </w:r>
    </w:p>
    <w:p>
      <w:pPr>
        <w:spacing w:after="60" w:line="252" w:lineRule="auto"/>
        <w:ind w:firstLine="216"/>
        <w:jc w:val="both"/>
      </w:pPr>
      <w:r>
        <w:rPr>
          <w:rFonts w:ascii="Times New Roman" w:hAnsi="Times New Roman"/>
          <w:sz w:val="18"/>
        </w:rPr>
        <w:t>In alignment with technical safeguards under Article 25 of Vietnamese Decree 13/2023/ND-CP, ScamShield-VN rejects forced binary classification on borderline samples. By providing an explicit **UNKNOWN** label for ambiguous samples ($0.40 \le P &lt; 0.60$), the platform preserves human-in-the-loop auditability. Furthermore, client-side PII redaction ensures subscriber privacy before cloud escalation; formal regulatory compliance with Decree 13/2023/ND-CP was not assessed by legal counsel.</w:t>
      </w:r>
    </w:p>
    <w:p>
      <w:pPr>
        <w:spacing w:before="240" w:after="80"/>
        <w:jc w:val="center"/>
      </w:pPr>
      <w:r>
        <w:rPr>
          <w:rFonts w:ascii="Times New Roman" w:hAnsi="Times New Roman"/>
          <w:b/>
          <w:sz w:val="20"/>
        </w:rPr>
        <w:t>V. CONCLUSION</w:t>
      </w:r>
    </w:p>
    <w:p>
      <w:pPr>
        <w:spacing w:after="60" w:line="252" w:lineRule="auto"/>
        <w:ind w:firstLine="216"/>
        <w:jc w:val="both"/>
      </w:pPr>
      <w:r>
        <w:rPr>
          <w:rFonts w:ascii="Times New Roman" w:hAnsi="Times New Roman"/>
          <w:sz w:val="18"/>
        </w:rPr>
        <w:t>This paper presented ScamShield-VN, an integrated, evidence-grounded two-tier architecture designed to resolve the operational trade-off between edge efficiency on mobile devices and deep cloud semantic reasoning for Vietnamese telecommunications fraud defense. By fine-tuning ViSoBERT with an asymmetric loss of Cost-Sensitive weighted binary Cross-Entropy ($\mathcal{L}_{\text{WBCE}}$, $\alpha = 5.0$) and exporting via ONNX INT8 quantization ($98.42\text{ MB}$ / $93.86\text{ MiB}$, $70.7\text{ ms}$ CPU latency), the Tier 1 edge screener achieved a Scam Recall of $95.64\% \pm 2.04\%$ and Scam-F1 of $92.51\% \pm 2.39\%$ (unweighted Macro-F1: $94.51\% \pm 0.96\%$), significantly outperforming commercial LLMs alone in paired overall correctness ($p &lt; 0.0001$, McNemar test).</w:t>
      </w:r>
    </w:p>
    <w:p>
      <w:pPr>
        <w:spacing w:after="60" w:line="252" w:lineRule="auto"/>
        <w:ind w:firstLine="216"/>
        <w:jc w:val="both"/>
      </w:pPr>
      <w:r>
        <w:rPr>
          <w:rFonts w:ascii="Times New Roman" w:hAnsi="Times New Roman"/>
          <w:sz w:val="18"/>
        </w:rPr>
        <w:t>For ambiguous edge cases, Tier 2 deploys a consolidated 3-agent forensic council incorporating an adversarial Public Defender. Paired McNemar tests validated that the 3-agent council performs on par with a 5-agent configuration ($p = 0.0736 &gt; 0.05$), reducing token expenditures by $40\%$ and eliminating alarm fatigue ($0.00\%$ FPR on authentic transactional and service notifications). Across the combined end-to-end benchmark ($N = 384$), the two-tier cascade successfully resolved $96.6\%$ of traffic locally, achieving $97.40\%$ overall accuracy, $97.11\%$ scam recall, and a sub-second response latency of $267.5\text{ ms}$ at $\$0.0153$ marginal cloud cost per 1,000 messages.</w:t>
      </w:r>
    </w:p>
    <w:p>
      <w:pPr>
        <w:spacing w:after="60" w:line="252" w:lineRule="auto"/>
        <w:ind w:firstLine="216"/>
        <w:jc w:val="both"/>
      </w:pPr>
      <w:r>
        <w:rPr>
          <w:rFonts w:ascii="Times New Roman" w:hAnsi="Times New Roman"/>
          <w:sz w:val="18"/>
        </w:rPr>
        <w:t>\textbf{Practical Implications and Limitations:} The proposed architecture provides a scalable, privacy-preserving blueprint for carrier-grade and on-device mobile security, incorporating safety-first tri-label classification and client-side PII tokenization; formal compliance with Article 25 of Vietnamese Decree 13/2023/ND-CP requires separate organizational and legal review, and technical efficacy was not assessed by legal counsel. Key unmitigated limitations include the lack of multi-rater ground-truth annotation logs, the exploratory status of threshold $\tau = 0.90$, and non-deterministic cloud API inference. Future investigations will expand the framework to incorporate lightweight vision-language models for on-device QR-code (quishing) triage and explore active telecommunications carrier pilot deployments.</w:t>
      </w:r>
    </w:p>
    <w:p>
      <w:pPr>
        <w:spacing w:before="200" w:after="80"/>
        <w:jc w:val="center"/>
      </w:pPr>
      <w:r>
        <w:rPr>
          <w:rFonts w:ascii="Times New Roman" w:hAnsi="Times New Roman"/>
          <w:b/>
          <w:sz w:val="20"/>
        </w:rPr>
        <w:t>Conflict of Interest</w:t>
      </w:r>
    </w:p>
    <w:p>
      <w:pPr>
        <w:spacing w:after="60" w:line="252" w:lineRule="auto"/>
        <w:ind w:firstLine="216"/>
        <w:jc w:val="both"/>
      </w:pPr>
      <w:r>
        <w:rPr>
          <w:rFonts w:ascii="Times New Roman" w:hAnsi="Times New Roman"/>
          <w:sz w:val="18"/>
        </w:rPr>
        <w:t>The authors declare no conflict of interest.</w:t>
      </w:r>
    </w:p>
    <w:p>
      <w:pPr>
        <w:spacing w:before="200" w:after="80"/>
        <w:jc w:val="center"/>
      </w:pPr>
      <w:r>
        <w:rPr>
          <w:rFonts w:ascii="Times New Roman" w:hAnsi="Times New Roman"/>
          <w:b/>
          <w:sz w:val="20"/>
        </w:rPr>
        <w:t>Author Contributions</w:t>
      </w:r>
    </w:p>
    <w:p>
      <w:pPr>
        <w:pStyle w:val="ListBullet"/>
        <w:spacing w:after="40"/>
        <w:jc w:val="both"/>
      </w:pPr>
      <w:r>
        <w:rPr>
          <w:rFonts w:ascii="Times New Roman" w:hAnsi="Times New Roman"/>
          <w:sz w:val="18"/>
        </w:rPr>
        <w:t>**Nguyen Trung Hieu:** Conceptualization, Methodology, Formal analysis, Writing -- Original Draft, Project administration.</w:t>
      </w:r>
    </w:p>
    <w:p>
      <w:pPr>
        <w:pStyle w:val="ListBullet"/>
        <w:spacing w:after="40"/>
        <w:jc w:val="both"/>
      </w:pPr>
      <w:r>
        <w:rPr>
          <w:rFonts w:ascii="Times New Roman" w:hAnsi="Times New Roman"/>
          <w:sz w:val="18"/>
        </w:rPr>
        <w:t>**Nguyen Minh Quang:** Supervision, Verification, Ethical review.</w:t>
      </w:r>
    </w:p>
    <w:p>
      <w:pPr>
        <w:pStyle w:val="ListBullet"/>
        <w:spacing w:after="40"/>
        <w:jc w:val="both"/>
      </w:pPr>
      <w:r>
        <w:rPr>
          <w:rFonts w:ascii="Times New Roman" w:hAnsi="Times New Roman"/>
          <w:sz w:val="18"/>
        </w:rPr>
        <w:t>**Hoang Hai Phuc:** Validation, Model benchmarking, Statistical testing, Visualization.</w:t>
      </w:r>
    </w:p>
    <w:p>
      <w:pPr>
        <w:pStyle w:val="ListBullet"/>
        <w:spacing w:after="40"/>
        <w:jc w:val="both"/>
      </w:pPr>
      <w:r>
        <w:rPr>
          <w:rFonts w:ascii="Times New Roman" w:hAnsi="Times New Roman"/>
          <w:sz w:val="18"/>
        </w:rPr>
        <w:t>**Phan Tran Hoang Tran:** Resources, Data collection, Literature review, Investigation, Writing -- Review &amp; Editing.</w:t>
      </w:r>
    </w:p>
    <w:p>
      <w:pPr>
        <w:pStyle w:val="ListBullet"/>
        <w:spacing w:after="40"/>
        <w:jc w:val="both"/>
      </w:pPr>
      <w:r>
        <w:rPr>
          <w:rFonts w:ascii="Times New Roman" w:hAnsi="Times New Roman"/>
          <w:sz w:val="18"/>
        </w:rPr>
        <w:t>**Nguyen Quoc Huy:** Software, Pipeline architecture, Data curation, Investigation.</w:t>
      </w:r>
    </w:p>
    <w:p>
      <w:pPr>
        <w:pStyle w:val="ListBullet"/>
        <w:spacing w:after="40"/>
        <w:jc w:val="both"/>
      </w:pPr>
      <w:r>
        <w:rPr>
          <w:rFonts w:ascii="Times New Roman" w:hAnsi="Times New Roman"/>
          <w:sz w:val="18"/>
        </w:rPr>
        <w:t>**Le Thi Quynh Chi:** Academic supervision, Conceptual validation, Writing -- Review &amp; Editing.</w:t>
      </w:r>
    </w:p>
    <w:p>
      <w:pPr>
        <w:spacing w:after="60" w:line="252" w:lineRule="auto"/>
        <w:ind w:firstLine="216"/>
        <w:jc w:val="both"/>
      </w:pPr>
      <w:r>
        <w:rPr>
          <w:rFonts w:ascii="Times New Roman" w:hAnsi="Times New Roman"/>
          <w:sz w:val="18"/>
        </w:rPr>
        <w:t>All authors have read and agreed to the published version of the manuscript.</w:t>
      </w:r>
    </w:p>
    <w:p>
      <w:pPr>
        <w:spacing w:before="200" w:after="80"/>
        <w:jc w:val="center"/>
      </w:pPr>
      <w:r>
        <w:rPr>
          <w:rFonts w:ascii="Times New Roman" w:hAnsi="Times New Roman"/>
          <w:b/>
          <w:sz w:val="20"/>
        </w:rPr>
        <w:t>Funding</w:t>
      </w:r>
    </w:p>
    <w:p>
      <w:pPr>
        <w:spacing w:after="60" w:line="252" w:lineRule="auto"/>
        <w:ind w:firstLine="216"/>
        <w:jc w:val="both"/>
      </w:pPr>
      <w:r>
        <w:rPr>
          <w:rFonts w:ascii="Times New Roman" w:hAnsi="Times New Roman"/>
          <w:sz w:val="18"/>
        </w:rPr>
        <w:t>This research received no external funding.</w:t>
      </w:r>
    </w:p>
    <w:p>
      <w:pPr>
        <w:spacing w:before="200" w:after="80"/>
        <w:jc w:val="center"/>
      </w:pPr>
      <w:r>
        <w:rPr>
          <w:rFonts w:ascii="Times New Roman" w:hAnsi="Times New Roman"/>
          <w:b/>
          <w:sz w:val="20"/>
        </w:rPr>
        <w:t>Acknowledgment</w:t>
      </w:r>
    </w:p>
    <w:p>
      <w:pPr>
        <w:spacing w:after="60" w:line="252" w:lineRule="auto"/>
        <w:ind w:firstLine="216"/>
        <w:jc w:val="both"/>
      </w:pPr>
      <w:r>
        <w:rPr>
          <w:rFonts w:ascii="Times New Roman" w:hAnsi="Times New Roman"/>
          <w:sz w:val="18"/>
        </w:rPr>
        <w:t>The authors express sincere gratitude to the ChongLuaDao project and the National Cybersecurity Association for open cyber threat intelligence feeds that contributed to benchmark curation.</w:t>
      </w:r>
    </w:p>
    <w:p>
      <w:pPr>
        <w:spacing w:before="200" w:after="80"/>
        <w:jc w:val="center"/>
      </w:pPr>
      <w:r>
        <w:rPr>
          <w:rFonts w:ascii="Times New Roman" w:hAnsi="Times New Roman"/>
          <w:b/>
          <w:sz w:val="20"/>
        </w:rPr>
        <w:t>References</w:t>
      </w:r>
    </w:p>
    <w:p>
      <w:pPr>
        <w:spacing w:after="40"/>
        <w:ind w:left="288" w:hanging="288"/>
        <w:jc w:val="both"/>
      </w:pPr>
      <w:r>
        <w:rPr>
          <w:rFonts w:ascii="Times New Roman" w:hAnsi="Times New Roman"/>
          <w:sz w:val="16"/>
        </w:rPr>
        <w:t>[1] Van Anh, “Vietnam loses \$744 million to online scams in 2024,” VietNamNet, Dec. 2024. Accessed: Oct. 25, 2026. [Online]. Available: [https://vietnamnet.vn/en/vietnam-loses-744-million-to-online-scams-in-2024-2352907.html](https://vietnamnet.vn/en/vietnam-loses-744-million-to-online-scams-in-2024-2352907.html)</w:t>
      </w:r>
    </w:p>
    <w:p>
      <w:pPr>
        <w:spacing w:after="40"/>
        <w:ind w:left="288" w:hanging="288"/>
        <w:jc w:val="both"/>
      </w:pPr>
      <w:r>
        <w:rPr>
          <w:rFonts w:ascii="Times New Roman" w:hAnsi="Times New Roman"/>
          <w:sz w:val="16"/>
        </w:rPr>
        <w:t>[2] “Most prominent online scams in VN: Game fraud, fake traffic fines, and job scams,” Ministry of Science and Technology portal, Dec. 2024. Accessed: Oct. 25, 2026. [Online]. Available: [https://english.mst.gov.vn/most-prominent-online-scams-in-vn-game-fraud-fake-traffic-fines-and-job-scams-197240923080352007.htm](https://english.mst.gov.vn/most-prominent-online-scams-in-vn-game-fraud-fake-traffic-fines-and-job-scams-197240923080352007.htm)</w:t>
      </w:r>
    </w:p>
    <w:p>
      <w:pPr>
        <w:spacing w:after="40"/>
        <w:ind w:left="288" w:hanging="288"/>
        <w:jc w:val="both"/>
      </w:pPr>
      <w:r>
        <w:rPr>
          <w:rFonts w:ascii="Times New Roman" w:hAnsi="Times New Roman"/>
          <w:sz w:val="16"/>
        </w:rPr>
        <w:t>[3] J.-W. Seo, J.-S. Lee, H.-M. Kim, J.-W. Lee, S.-H. Han, J.-H. Cho, and C.-H. Lee, “On-device smishing classifier resistant to text evasion attack,” _IEEE Access_, vol. 12, pp. 33495–33508, 2024. doi: [10.1109/ACCESS.2024.3349577](https://doi.org/10.1109/ACCESS.2024.3349577).</w:t>
      </w:r>
    </w:p>
    <w:p>
      <w:pPr>
        <w:spacing w:after="40"/>
        <w:ind w:left="288" w:hanging="288"/>
        <w:jc w:val="both"/>
      </w:pPr>
      <w:r>
        <w:rPr>
          <w:rFonts w:ascii="Times New Roman" w:hAnsi="Times New Roman"/>
          <w:sz w:val="16"/>
        </w:rPr>
        <w:t>[4] J. Saias, “Advances in NLP techniques for detection of message-based threats in digital platforms: A systematic review,” _Electronics_, vol. 14, no. 13, p. 2551, 2025. doi: [10.3390/electronics14132551](https://doi.org/10.3390/electronics14132551).</w:t>
      </w:r>
    </w:p>
    <w:p>
      <w:pPr>
        <w:spacing w:after="40"/>
        <w:ind w:left="288" w:hanging="288"/>
        <w:jc w:val="both"/>
      </w:pPr>
      <w:r>
        <w:rPr>
          <w:rFonts w:ascii="Times New Roman" w:hAnsi="Times New Roman"/>
          <w:sz w:val="16"/>
        </w:rPr>
        <w:t>[5] D. Q. Nguyen and A. T. Nguyen, “PhoBERT: Pre-trained language models for Vietnamese,” in _Findings of the Association for Computational Linguistics: EMNLP 2020_, 2020, pp. 1037–1042.</w:t>
      </w:r>
    </w:p>
    <w:p>
      <w:pPr>
        <w:spacing w:after="40"/>
        <w:ind w:left="288" w:hanging="288"/>
        <w:jc w:val="both"/>
      </w:pPr>
      <w:r>
        <w:rPr>
          <w:rFonts w:ascii="Times New Roman" w:hAnsi="Times New Roman"/>
          <w:sz w:val="16"/>
        </w:rPr>
        <w:t>[6] S. Mahendru and T. Pandit, “SecureNet: A comparative study of DeBERTa and large language models for phishing detection,” in _IEEE 7th International Conference on Big Data and Artificial Intelligence (BDAI)_, 2024, pp. 112–119.</w:t>
      </w:r>
    </w:p>
    <w:p>
      <w:pPr>
        <w:spacing w:after="40"/>
        <w:ind w:left="288" w:hanging="288"/>
        <w:jc w:val="both"/>
      </w:pPr>
      <w:r>
        <w:rPr>
          <w:rFonts w:ascii="Times New Roman" w:hAnsi="Times New Roman"/>
          <w:sz w:val="16"/>
        </w:rPr>
        <w:t>[7] Quoc-Nam Nguyen, Thanh-Cong Phan, Duc-Vu Nguyen, and Kiet Van Nguyen, “ViSoBERT: A Pre-Trained Language Model for Vietnamese Social Media Text Processing,” in _Proceedings of the 2023 Conference on Empirical Methods in Natural Language Processing (EMNLP)_, 2023, pp. 5191–5207, ACL Anthology `2023.emnlp-main.315`. doi: [10.18653/v1/2023.emnlp-main.315](https://doi.org/10.18653/v1/2023.emnlp-main.315). [Online]. Available: [https://aclanthology.org/2023.emnlp-main.315/](https://aclanthology.org/2023.emnlp-main.315/)</w:t>
      </w:r>
    </w:p>
    <w:p>
      <w:pPr>
        <w:spacing w:after="40"/>
        <w:ind w:left="288" w:hanging="288"/>
        <w:jc w:val="both"/>
      </w:pPr>
      <w:r>
        <w:rPr>
          <w:rFonts w:ascii="Times New Roman" w:hAnsi="Times New Roman"/>
          <w:sz w:val="16"/>
        </w:rPr>
        <w:t>[8] V. A. Saeed, “A method for SMS spam message detection using machine learning,” _Artificial Intelligence &amp; Robotics Development Journal_, vol. 3, no. 1, pp. 66–78, 2023. doi: [10.52098/airdj.202366](https://doi.org/10.52098/airdj.202366).</w:t>
      </w:r>
    </w:p>
    <w:p>
      <w:pPr>
        <w:spacing w:after="40"/>
        <w:ind w:left="288" w:hanging="288"/>
        <w:jc w:val="both"/>
      </w:pPr>
      <w:r>
        <w:rPr>
          <w:rFonts w:ascii="Times New Roman" w:hAnsi="Times New Roman"/>
          <w:sz w:val="16"/>
        </w:rPr>
        <w:t>[9] T. Xie, “Comparing KNN, logistic regression, random forest and BERT fine-tuning for scam message detection,” _Finance &amp; Economics_, vol. 19, pp. 209–218, 2025.</w:t>
      </w:r>
    </w:p>
    <w:p>
      <w:pPr>
        <w:spacing w:after="40"/>
        <w:ind w:left="288" w:hanging="288"/>
        <w:jc w:val="both"/>
      </w:pPr>
      <w:r>
        <w:rPr>
          <w:rFonts w:ascii="Times New Roman" w:hAnsi="Times New Roman"/>
          <w:sz w:val="16"/>
        </w:rPr>
        <w:t>[10] A. Ghourabi and M. Alohaly, “Enhancing spam message classification and detection using transformer-based embedding and ensemble learning,” _Sensors_, vol. 23, no. 8, p. 3861, 2023. doi: [10.3390/s23083861](https://doi.org/10.3390/s23083861).</w:t>
      </w:r>
    </w:p>
    <w:p>
      <w:pPr>
        <w:spacing w:after="40"/>
        <w:ind w:left="288" w:hanging="288"/>
        <w:jc w:val="both"/>
      </w:pPr>
      <w:r>
        <w:rPr>
          <w:rFonts w:ascii="Times New Roman" w:hAnsi="Times New Roman"/>
          <w:sz w:val="16"/>
        </w:rPr>
        <w:t>[11] V. M. Tuan, N. X. Thang, and T. Q. Anh, “Evaluating the efficiency of Vietnamese SMS spam detection techniques,” _Journal of Science and Technology_, vol. 59, no. 1, pp. 45–52, 2023.</w:t>
      </w:r>
    </w:p>
    <w:p>
      <w:pPr>
        <w:spacing w:after="40"/>
        <w:ind w:left="288" w:hanging="288"/>
        <w:jc w:val="both"/>
      </w:pPr>
      <w:r>
        <w:rPr>
          <w:rFonts w:ascii="Times New Roman" w:hAnsi="Times New Roman"/>
          <w:sz w:val="16"/>
        </w:rPr>
        <w:t>[12] N. T. Cam and N. T. Binh, “VNSED: Vietnamese spam email detection using multi deep learning models,” _Journal of Computer Science and Cybernetics_, vol. 42, no. 1, pp. 12–25, 2026.</w:t>
      </w:r>
    </w:p>
    <w:p>
      <w:pPr>
        <w:spacing w:after="40"/>
        <w:ind w:left="288" w:hanging="288"/>
        <w:jc w:val="both"/>
      </w:pPr>
      <w:r>
        <w:rPr>
          <w:rFonts w:ascii="Times New Roman" w:hAnsi="Times New Roman"/>
          <w:sz w:val="16"/>
        </w:rPr>
        <w:t>[13] S. Nguyen-Xuan, H. Nguyen, G.-D. Le, and D. Kim, “A mixed-language transformer encoder architecture for social media phishing: Vietnamese-English case study,” _IEEE Access_, vol. 14, pp. 36942–36955, 2026. doi: [10.1109/ACCESS.2026.3694267](https://doi.org/10.1109/ACCESS.2026.3694267).</w:t>
      </w:r>
    </w:p>
    <w:p>
      <w:pPr>
        <w:spacing w:after="40"/>
        <w:ind w:left="288" w:hanging="288"/>
        <w:jc w:val="both"/>
      </w:pPr>
      <w:r>
        <w:rPr>
          <w:rFonts w:ascii="Times New Roman" w:hAnsi="Times New Roman"/>
          <w:sz w:val="16"/>
        </w:rPr>
        <w:t>[14] C. Elkan, “The foundations of cost-sensitive learning,” in _Proceedings of the 17th International Joint Conference on Artificial Intelligence (IJCAI)_, vol. 2, 2001, pp. 973–978.</w:t>
      </w:r>
    </w:p>
    <w:p>
      <w:pPr>
        <w:spacing w:after="40"/>
        <w:ind w:left="288" w:hanging="288"/>
        <w:jc w:val="both"/>
      </w:pPr>
      <w:r>
        <w:rPr>
          <w:rFonts w:ascii="Times New Roman" w:hAnsi="Times New Roman"/>
          <w:sz w:val="16"/>
        </w:rPr>
        <w:t>[15] T.-Y. Lin, P. Goyal, R. Girshick, K. He, and P. Dollár, “Focal loss for dense object detection,” in _Proceedings of the IEEE International Conference on Computer Vision (ICCV)_, 2017, pp. 2980–2988.</w:t>
      </w:r>
    </w:p>
    <w:p>
      <w:pPr>
        <w:spacing w:after="40"/>
        <w:ind w:left="288" w:hanging="288"/>
        <w:jc w:val="both"/>
      </w:pPr>
      <w:r>
        <w:rPr>
          <w:rFonts w:ascii="Times New Roman" w:hAnsi="Times New Roman"/>
          <w:sz w:val="16"/>
        </w:rPr>
        <w:t>[16] H. T. Madabushi, E. Kochkina, and M. Castelle, “Cost-Sensitive BERT for Generalisable Sentence Classification on Imbalanced Data,” in _Proceedings of the Second Workshop on Natural Language Processing for Internet Freedom: Censorship, Disinformation, and Propaganda_, 2019, pp. 125–134. doi: [10.18653/v1/D19-5017](https://doi.org/10.18653/v1/D19-5017).</w:t>
      </w:r>
    </w:p>
    <w:p>
      <w:pPr>
        <w:spacing w:after="40"/>
        <w:ind w:left="288" w:hanging="288"/>
        <w:jc w:val="both"/>
      </w:pPr>
      <w:r>
        <w:rPr>
          <w:rFonts w:ascii="Times New Roman" w:hAnsi="Times New Roman"/>
          <w:sz w:val="16"/>
        </w:rPr>
        <w:t>[17] Y. H. Zhou, Z. M. Ma, Y. J. Zhou, Y. T. Li, H. X. Xiang, Y. M. Cheng, T. L. Chen, K. J. Zhang, Z. H. Nan, J. H. Ni, Z. Wu, Q. Y. Pan, S. Zhang, S. Cheng, and M. Y. Luo, “FraudSMSWalker: Benchmarking agentic large language models for SMS-to-webpage fraud detection,” arXiv preprint arXiv:2606.16659, 2026. [Online]. Available: [https://arxiv.org/abs/2606.16659](https://arxiv.org/abs/2606.16659)</w:t>
      </w:r>
    </w:p>
    <w:p>
      <w:pPr>
        <w:spacing w:after="40"/>
        <w:ind w:left="288" w:hanging="288"/>
        <w:jc w:val="both"/>
      </w:pPr>
      <w:r>
        <w:rPr>
          <w:rFonts w:ascii="Times New Roman" w:hAnsi="Times New Roman"/>
          <w:sz w:val="16"/>
        </w:rPr>
        <w:t>[18] A. ElZemity, J. Sylvester, B. Arief, and R. D. Lemos, “Agentic knowledge distillation: Autonomous training of small language models for SMS threat detection,” arXiv preprint arXiv:2602.10869, 2026. [Online]. Available: [https://arxiv.org/abs/2602.10869](https://arxiv.org/abs/2602.10869)</w:t>
      </w:r>
    </w:p>
    <w:p>
      <w:pPr>
        <w:spacing w:after="40"/>
        <w:ind w:left="288" w:hanging="288"/>
        <w:jc w:val="both"/>
      </w:pPr>
      <w:r>
        <w:rPr>
          <w:rFonts w:ascii="Times New Roman" w:hAnsi="Times New Roman"/>
          <w:sz w:val="16"/>
        </w:rPr>
        <w:t>[19] S. Banda, M. Musara, and M. Mutandavari, “QuishingShield: On-device multi-modal detection of quick response phishing,” _Computer Science and Information Technologies_, vol. 7, no. 3, pp. 271–290, 2026.</w:t>
      </w:r>
    </w:p>
    <w:p>
      <w:pPr>
        <w:spacing w:after="40"/>
        <w:ind w:left="288" w:hanging="288"/>
        <w:jc w:val="both"/>
      </w:pPr>
      <w:r>
        <w:rPr>
          <w:rFonts w:ascii="Times New Roman" w:hAnsi="Times New Roman"/>
          <w:sz w:val="16"/>
        </w:rPr>
        <w:t>[20] H. C. Phap, “Edge-AI enabled smishing and suspicious SMS detection: A cost-sensitive and lightweight deep learning architecture,” _Journal of Information and Telecommunication_, vol. 10, no. 2, pp. 145–162, 2026. doi: [10.1080/24751839.2026.2713250](https://doi.org/10.1080/24751839.2026.2713250).</w:t>
      </w:r>
    </w:p>
    <w:p>
      <w:pPr>
        <w:spacing w:after="40"/>
        <w:ind w:left="288" w:hanging="288"/>
        <w:jc w:val="both"/>
      </w:pPr>
      <w:r>
        <w:rPr>
          <w:rFonts w:ascii="Times New Roman" w:hAnsi="Times New Roman"/>
          <w:sz w:val="16"/>
        </w:rPr>
        <w:t>[21] L. Chen, M. Zaharia, and J. Zou, “FrugalGPT: How to use large language models while reducing cost and improving performance,” arXiv preprint arXiv:2305.05176, 2023. [Online]. Available: [https://arxiv.org/abs/2305.05176](https://arxiv.org/abs/2305.05176)</w:t>
      </w:r>
    </w:p>
    <w:p>
      <w:pPr>
        <w:spacing w:after="40"/>
        <w:ind w:left="288" w:hanging="288"/>
        <w:jc w:val="both"/>
      </w:pPr>
      <w:r>
        <w:rPr>
          <w:rFonts w:ascii="Times New Roman" w:hAnsi="Times New Roman"/>
          <w:sz w:val="16"/>
        </w:rPr>
        <w:t>[22] H. Mozannar and D. Sontag, “Consistent estimators for learning to defer to an expert,” in _International Conference on Machine Learning (ICML)_, 2020, pp. 7076–7087.</w:t>
      </w:r>
    </w:p>
    <w:p>
      <w:pPr>
        <w:spacing w:after="40"/>
        <w:ind w:left="288" w:hanging="288"/>
        <w:jc w:val="both"/>
      </w:pPr>
      <w:r>
        <w:rPr>
          <w:rFonts w:ascii="Times New Roman" w:hAnsi="Times New Roman"/>
          <w:sz w:val="16"/>
        </w:rPr>
        <w:t>[23] C. K. Chow, “On optimum recognition error and reject option,” _IEEE Transactions on Information Theory_, vol. 16, no. 1, pp. 41–46, 1970. doi: [10.1109/TIT.1970.1054406](https://doi.org/10.1109/TIT.1970.1054406).</w:t>
      </w:r>
    </w:p>
    <w:p>
      <w:pPr>
        <w:spacing w:after="40"/>
        <w:ind w:left="288" w:hanging="288"/>
        <w:jc w:val="both"/>
      </w:pPr>
      <w:r>
        <w:rPr>
          <w:rFonts w:ascii="Times New Roman" w:hAnsi="Times New Roman"/>
          <w:sz w:val="16"/>
        </w:rPr>
        <w:t>[24] C.-M. Chan, W. Chen, Y. Su, J. Xiao, Z. Liu, et al., “ChatEval: Towards better LLM-based evaluators through multi-agent debate,” in _International Conference on Learning Representations (ICLR)_, 2024.</w:t>
      </w:r>
    </w:p>
    <w:p>
      <w:pPr>
        <w:spacing w:after="40"/>
        <w:ind w:left="288" w:hanging="288"/>
        <w:jc w:val="both"/>
      </w:pPr>
      <w:r>
        <w:rPr>
          <w:rFonts w:ascii="Times New Roman" w:hAnsi="Times New Roman"/>
          <w:sz w:val="16"/>
        </w:rPr>
        <w:t>[25] Y. Du, S. Li, A. Torralba, J. B. Tenenbaum, and I. Mordatch, “Improving factuality and reasoning in language models through multiagent debate,” in _International Conference on Machine Learning (ICML)_, 2024, pp. 8821–8840.</w:t>
      </w:r>
    </w:p>
    <w:p>
      <w:pPr>
        <w:spacing w:after="40"/>
        <w:ind w:left="288" w:hanging="288"/>
        <w:jc w:val="both"/>
      </w:pPr>
      <w:r>
        <w:rPr>
          <w:rFonts w:ascii="Times New Roman" w:hAnsi="Times New Roman"/>
          <w:sz w:val="16"/>
        </w:rPr>
        <w:t>[26] Yi-Nuo Xue, Eric Spero, Yun Sing Koh, and Giovanni Russello, “MultiPhishGuard: An Explainable and Adaptive Multi-Agent LLM System for Phishing Email Detection,” arXiv preprint arXiv:2505.23803v2, 2025. [Online]. Available: [https://arxiv.org/abs/2505.23803v2](https://arxiv.org/abs/2505.23803v2)</w:t>
      </w:r>
    </w:p>
    <w:p>
      <w:pPr>
        <w:spacing w:after="40"/>
        <w:ind w:left="288" w:hanging="288"/>
        <w:jc w:val="both"/>
      </w:pPr>
      <w:r>
        <w:rPr>
          <w:rFonts w:ascii="Times New Roman" w:hAnsi="Times New Roman"/>
          <w:sz w:val="16"/>
        </w:rPr>
        <w:t>[27] J. Wang, Q. Sun, X. Li, and M. Gao, “Boosting language models reasoning with Chain-of-Knowledge prompting,” in _Proceedings of the 62nd Annual Meeting of the Association for Computational Linguistics (Volume 1: Long Papers)_, Association for Computational Linguistics, 2024, pp. 5014–5031. doi: [10.18653/v1/2024.acl-long.271](https://doi.org/10.18653/v1/2024.acl-long.271).</w:t>
      </w:r>
    </w:p>
    <w:p>
      <w:pPr>
        <w:spacing w:after="40"/>
        <w:ind w:left="288" w:hanging="288"/>
        <w:jc w:val="both"/>
      </w:pPr>
      <w:r>
        <w:rPr>
          <w:rFonts w:ascii="Times New Roman" w:hAnsi="Times New Roman"/>
          <w:sz w:val="16"/>
        </w:rPr>
        <w:t>[28] P. Verga, S. Hofstatter, S. Althammer, Y. Su, A. Piktus, A. Arkhangorodsky, M. Xu, N. White, and P. Lewis, “Replacing judges with juries: Evaluating LLM generations with a panel of diverse models,” arXiv preprint arXiv:2404.18796, 2024. [Online]. Available: [https://arxiv.org/abs/2404.18796](https://arxiv.org/abs/2404.18796)</w:t>
      </w:r>
    </w:p>
    <w:p>
      <w:pPr>
        <w:spacing w:after="40"/>
        <w:ind w:left="288" w:hanging="288"/>
        <w:jc w:val="both"/>
      </w:pPr>
      <w:r>
        <w:rPr>
          <w:rFonts w:ascii="Times New Roman" w:hAnsi="Times New Roman"/>
          <w:sz w:val="16"/>
        </w:rPr>
        <w:t>[29] K. K. Ladha, “The Condorcet jury theorem, free speech, and correlated votes,” _American Journal of Political Science_, vol. 36, no. 3, pp. 617–634, 1992. doi: [10.2307/2111584](https://doi.org/10.2307/2111584).</w:t>
      </w:r>
    </w:p>
    <w:p>
      <w:pPr>
        <w:spacing w:after="40"/>
        <w:ind w:left="288" w:hanging="288"/>
        <w:jc w:val="both"/>
      </w:pPr>
      <w:r>
        <w:rPr>
          <w:rFonts w:ascii="Times New Roman" w:hAnsi="Times New Roman"/>
          <w:sz w:val="16"/>
        </w:rPr>
        <w:t>[30] E. Kim, A. Garg, K. Peng, and N. Garg, “Correlated errors in large language models,” arXiv preprint arXiv:2506.07962, 2025. [Online]. Available: [https://arxiv.org/abs/2506.07962](https://arxiv.org/abs/2506.07962)</w:t>
      </w:r>
    </w:p>
    <w:p>
      <w:pPr>
        <w:spacing w:after="40"/>
        <w:ind w:left="288" w:hanging="288"/>
        <w:jc w:val="both"/>
      </w:pPr>
      <w:r>
        <w:rPr>
          <w:rFonts w:ascii="Times New Roman" w:hAnsi="Times New Roman"/>
          <w:sz w:val="16"/>
        </w:rPr>
        <w:t>[31] A. Smit, P. Duckworth, N. Grinsztajn, T. D. Barrett, and A. Pretorius, “Should we be going MAD? A look at multi-agent debate strategies for LLMs,” arXiv preprint arXiv:2311.17371, 2024. [Online]. Available: [https://arxiv.org/abs/2311.17371](https://arxiv.org/abs/2311.17371)</w:t>
      </w:r>
    </w:p>
    <w:p>
      <w:pPr>
        <w:spacing w:after="40"/>
        <w:ind w:left="288" w:hanging="288"/>
        <w:jc w:val="both"/>
      </w:pPr>
      <w:r>
        <w:rPr>
          <w:rFonts w:ascii="Times New Roman" w:hAnsi="Times New Roman"/>
          <w:sz w:val="16"/>
        </w:rPr>
        <w:t>[32] F. Pedregosa, G. Varoquaux, A. Gramfort, V. Michel, B. Thirion, O. Grisel, M. Blondel, P. Prettenhofer, R. Weiss, V. Dubourg, J. Vanderplas, A. Passos, D. Cournapeau, M. Brucher, M. Perrot, and E. Duchesnay, “Scikit-learn: Machine learning in Python,” _Journal of Machine Learning Research_, vol. 12, pp. 2825–2830, 2011.</w:t>
      </w:r>
    </w:p>
    <w:p>
      <w:pPr>
        <w:spacing w:after="40"/>
        <w:ind w:left="288" w:hanging="288"/>
        <w:jc w:val="both"/>
      </w:pPr>
      <w:r>
        <w:rPr>
          <w:rFonts w:ascii="Times New Roman" w:hAnsi="Times New Roman"/>
          <w:sz w:val="16"/>
        </w:rPr>
        <w:t>[33] ONNX Runtime Developers, “ONNX Runtime: Cross-platform, high performance ML inferencing and training accelerator,” 2021. [Online]. Available: [https://onnxruntime.ai/](https://onnxruntime.ai/)</w:t>
      </w:r>
    </w:p>
    <w:p>
      <w:pPr>
        <w:spacing w:after="40"/>
        <w:ind w:left="288" w:hanging="288"/>
        <w:jc w:val="both"/>
      </w:pPr>
      <w:r>
        <w:rPr>
          <w:rFonts w:ascii="Times New Roman" w:hAnsi="Times New Roman"/>
          <w:sz w:val="16"/>
        </w:rPr>
        <w:t>[34] Q. McNemar, “Note on the sampling error of the difference between correlated proportions or percentages,” _Psychometrika_, vol. 12, no. 2, pp. 153–157, 1947. doi: [10.1007/BF02295996](https://doi.org/10.1007/BF02295996).</w:t>
      </w:r>
    </w:p>
    <w:p>
      <w:pPr>
        <w:spacing w:after="40"/>
        <w:ind w:left="288" w:hanging="288"/>
        <w:jc w:val="both"/>
      </w:pPr>
      <w:r>
        <w:rPr>
          <w:rFonts w:ascii="Times New Roman" w:hAnsi="Times New Roman"/>
          <w:sz w:val="16"/>
        </w:rPr>
        <w:t>[35] A. L. Edwards, “Note on the ‘correction for continuity’ in testing the significance of the difference between correlated proportions,” _Psychometrika_, vol. 13, no. 3, pp. 185–187, 1948. doi: [10.1007/BF02289261](https://doi.org/10.1007/BF02289261).</w:t>
      </w:r>
    </w:p>
    <w:p>
      <w:pPr>
        <w:spacing w:before="200" w:after="80"/>
        <w:jc w:val="center"/>
      </w:pPr>
      <w:r>
        <w:rPr>
          <w:rFonts w:ascii="Times New Roman" w:hAnsi="Times New Roman"/>
          <w:b/>
          <w:sz w:val="20"/>
        </w:rPr>
        <w:t>Conflict of Interest</w:t>
      </w:r>
    </w:p>
    <w:p>
      <w:pPr>
        <w:spacing w:after="60" w:line="252" w:lineRule="auto"/>
        <w:ind w:firstLine="216"/>
        <w:jc w:val="both"/>
      </w:pPr>
      <w:r>
        <w:rPr>
          <w:rFonts w:ascii="Times New Roman" w:hAnsi="Times New Roman"/>
          <w:sz w:val="18"/>
        </w:rPr>
        <w:t>The authors declare no conflict of interest.</w:t>
      </w:r>
    </w:p>
    <w:p>
      <w:pPr>
        <w:spacing w:after="60" w:line="252" w:lineRule="auto"/>
        <w:ind w:firstLine="216"/>
        <w:jc w:val="both"/>
      </w:pPr>
      <w:r>
        <w:rPr>
          <w:rFonts w:ascii="Times New Roman" w:hAnsi="Times New Roman"/>
          <w:sz w:val="18"/>
        </w:rPr>
        <w:t>## Data and Code Availability</w:t>
      </w:r>
    </w:p>
    <w:p>
      <w:pPr>
        <w:spacing w:after="60" w:line="252" w:lineRule="auto"/>
        <w:ind w:firstLine="216"/>
        <w:jc w:val="both"/>
      </w:pPr>
      <w:r>
        <w:rPr>
          <w:rFonts w:ascii="Times New Roman" w:hAnsi="Times New Roman"/>
          <w:sz w:val="18"/>
        </w:rPr>
        <w:t>To facilitate replication, artifacts, models, and scripts are deposited at the root repository `https://github.com/QuangWorkIT/RBL_ScamShield`. The locked Frozen Test Partition ($N=267$, $192$ Ham, $75$ Scam) is cryptographically sealed with an SHA-256 checksum in the repository manifest. For double-blind peer review, verbatim system prompts, full confusion matrices, and parameter sweeps are archived in the anonymous supplementary repository at [https://anonymous.4open.science/r/ScamShield_Supplementary_Material-B582/](https://anonymous.4open.science/r/ScamShield_Supplementary_Material-B582/).</w:t>
      </w:r>
    </w:p>
    <w:sectPr w:rsidR="00FC693F" w:rsidRPr="0006063C" w:rsidSect="00034616">
      <w:pgSz w:w="12240" w:h="15840"/>
      <w:pgMar w:top="1080" w:right="1080" w:bottom="1080" w:left="1080" w:header="720" w:footer="720" w:gutter="0"/>
      <w:cols w:space="45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