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24/10/2021 – 30/10/2021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StyleBook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 Thanh-Danh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19125135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 Thanh-Danh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19125116 -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 Chau Nhat Quang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19125076 -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Phu Van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19125106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Huynh Tuan Luc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Software Development Plan document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Vision document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Misunderstand keywords and concept in the documents: Objective, Stakeholder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Prepare for PA02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in the missing part or section in SDP and Vision document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Nguyen Phu Van, Huynh Tuan Luc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yTnOyuuHf14G/5xHOw6z0kSLw==">AMUW2mXtKhec7KIl2m365R3aBTRolI2Hi1X6IMwJB5dFqo3uYBHeVAkP4NEM0+CUxXaNBHLIP+FnkBSdkpY+GgHhTyQKsr0DQc2t+0vzpnVlqlOoABCZNwZuU5juOYb4y5XxxVKFzgl6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