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KIỂM THỬ QA</w:t>
      </w:r>
    </w:p>
    <w:p>
      <w:pPr>
        <w:pStyle w:val="Subtitle"/>
      </w:pPr>
      <w:r>
        <w:t>Payment Gateway / payOS – Backend PR #14</w:t>
      </w:r>
    </w:p>
    <w:p>
      <w:r>
        <w:rPr>
          <w:b/>
          <w:color w:val="A83130"/>
        </w:rPr>
        <w:t>TRẠNG THÁI: QA HOLD – cần điều tra Bug SPARK-313; không phải nghiệm thu chức năng.</w:t>
      </w:r>
    </w:p>
    <w:tbl>
      <w:tblPr>
        <w:tblStyle w:val="TableGrid"/>
        <w:tblW w:type="auto" w:w="0"/>
        <w:jc w:val="center"/>
        <w:tblLook w:firstColumn="1" w:firstRow="1" w:lastColumn="0" w:lastRow="0" w:noHBand="0" w:noVBand="1" w:val="04A0"/>
      </w:tblPr>
      <w:tblGrid>
        <w:gridCol w:w="4997"/>
        <w:gridCol w:w="4997"/>
      </w:tblGrid>
      <w:tr>
        <w:tc>
          <w:tcPr>
            <w:tcW w:type="dxa" w:w="2160"/>
            <w:shd w:fill="153D3B"/>
          </w:tcPr>
          <w:p>
            <w:r>
              <w:rPr>
                <w:b/>
                <w:color w:val="FFFFFF"/>
                <w:sz w:val="17"/>
              </w:rPr>
              <w:t>Trường</w:t>
            </w:r>
          </w:p>
        </w:tc>
        <w:tc>
          <w:tcPr>
            <w:tcW w:type="dxa" w:w="7632"/>
            <w:shd w:fill="153D3B"/>
          </w:tcPr>
          <w:p>
            <w:r>
              <w:rPr>
                <w:b/>
                <w:color w:val="FFFFFF"/>
                <w:sz w:val="17"/>
              </w:rPr>
              <w:t>Nội dung</w:t>
            </w:r>
          </w:p>
        </w:tc>
      </w:tr>
      <w:tr>
        <w:tc>
          <w:tcPr>
            <w:tcW w:type="dxa" w:w="2160"/>
            <w:vAlign w:val="center"/>
          </w:tcPr>
          <w:p>
            <w:pPr>
              <w:spacing w:after="20"/>
            </w:pPr>
            <w:r>
              <w:rPr>
                <w:sz w:val="16"/>
              </w:rPr>
              <w:t>Testing task</w:t>
            </w:r>
          </w:p>
        </w:tc>
        <w:tc>
          <w:tcPr>
            <w:tcW w:type="dxa" w:w="7632"/>
            <w:vAlign w:val="center"/>
          </w:tcPr>
          <w:p>
            <w:pPr>
              <w:spacing w:after="20"/>
            </w:pPr>
            <w:r>
              <w:rPr>
                <w:sz w:val="16"/>
              </w:rPr>
              <w:t>SPARK-252 – Payment Gateway — API Testing + UAT</w:t>
            </w:r>
          </w:p>
        </w:tc>
      </w:tr>
      <w:tr>
        <w:tc>
          <w:tcPr>
            <w:tcW w:type="dxa" w:w="2160"/>
            <w:shd w:fill="F2F6F4"/>
            <w:vAlign w:val="center"/>
          </w:tcPr>
          <w:p>
            <w:pPr>
              <w:spacing w:after="20"/>
            </w:pPr>
            <w:r>
              <w:rPr>
                <w:sz w:val="16"/>
              </w:rPr>
              <w:t>Developer task</w:t>
            </w:r>
          </w:p>
        </w:tc>
        <w:tc>
          <w:tcPr>
            <w:tcW w:type="dxa" w:w="7632"/>
            <w:shd w:fill="F2F6F4"/>
            <w:vAlign w:val="center"/>
          </w:tcPr>
          <w:p>
            <w:pPr>
              <w:spacing w:after="20"/>
            </w:pPr>
            <w:r>
              <w:rPr>
                <w:sz w:val="16"/>
              </w:rPr>
              <w:t>SPARK-250 – Payment Gateway — BE Integration</w:t>
            </w:r>
          </w:p>
        </w:tc>
      </w:tr>
      <w:tr>
        <w:tc>
          <w:tcPr>
            <w:tcW w:type="dxa" w:w="2160"/>
            <w:vAlign w:val="center"/>
          </w:tcPr>
          <w:p>
            <w:pPr>
              <w:spacing w:after="20"/>
            </w:pPr>
            <w:r>
              <w:rPr>
                <w:sz w:val="16"/>
              </w:rPr>
              <w:t>PR nguồn</w:t>
            </w:r>
          </w:p>
        </w:tc>
        <w:tc>
          <w:tcPr>
            <w:tcW w:type="dxa" w:w="7632"/>
            <w:vAlign w:val="center"/>
          </w:tcPr>
          <w:p>
            <w:pPr>
              <w:spacing w:after="20"/>
            </w:pPr>
            <w:r>
              <w:rPr>
                <w:sz w:val="16"/>
              </w:rPr>
              <w:t>#14 (merged); commit được kiểm thử: 5995394ef27c789cdd2cedc0d256e85d23d7e411</w:t>
            </w:r>
          </w:p>
        </w:tc>
      </w:tr>
      <w:tr>
        <w:tc>
          <w:tcPr>
            <w:tcW w:type="dxa" w:w="2160"/>
            <w:shd w:fill="F2F6F4"/>
            <w:vAlign w:val="center"/>
          </w:tcPr>
          <w:p>
            <w:pPr>
              <w:spacing w:after="20"/>
            </w:pPr>
            <w:r>
              <w:rPr>
                <w:sz w:val="16"/>
              </w:rPr>
              <w:t>QA report PR</w:t>
            </w:r>
          </w:p>
        </w:tc>
        <w:tc>
          <w:tcPr>
            <w:tcW w:type="dxa" w:w="7632"/>
            <w:shd w:fill="F2F6F4"/>
            <w:vAlign w:val="center"/>
          </w:tcPr>
          <w:p>
            <w:pPr>
              <w:spacing w:after="20"/>
            </w:pPr>
            <w:r>
              <w:rPr>
                <w:sz w:val="16"/>
              </w:rPr>
              <w:t>#25 (Draft; hiện đang dùng Jira key sai, cần cập nhật riêng)</w:t>
            </w:r>
          </w:p>
        </w:tc>
      </w:tr>
      <w:tr>
        <w:tc>
          <w:tcPr>
            <w:tcW w:type="dxa" w:w="2160"/>
            <w:vAlign w:val="center"/>
          </w:tcPr>
          <w:p>
            <w:pPr>
              <w:spacing w:after="20"/>
            </w:pPr>
            <w:r>
              <w:rPr>
                <w:sz w:val="16"/>
              </w:rPr>
              <w:t>Thời gian chạy QA</w:t>
            </w:r>
          </w:p>
        </w:tc>
        <w:tc>
          <w:tcPr>
            <w:tcW w:type="dxa" w:w="7632"/>
            <w:vAlign w:val="center"/>
          </w:tcPr>
          <w:p>
            <w:pPr>
              <w:spacing w:after="20"/>
            </w:pPr>
            <w:r>
              <w:rPr>
                <w:sz w:val="16"/>
              </w:rPr>
              <w:t>27/10/2026 • Báo cáo lập 28/10/2026</w:t>
            </w:r>
          </w:p>
        </w:tc>
      </w:tr>
      <w:tr>
        <w:tc>
          <w:tcPr>
            <w:tcW w:type="dxa" w:w="2160"/>
            <w:shd w:fill="F2F6F4"/>
            <w:vAlign w:val="center"/>
          </w:tcPr>
          <w:p>
            <w:pPr>
              <w:spacing w:after="20"/>
            </w:pPr>
            <w:r>
              <w:rPr>
                <w:sz w:val="16"/>
              </w:rPr>
              <w:t>Service chủ quản</w:t>
            </w:r>
          </w:p>
        </w:tc>
        <w:tc>
          <w:tcPr>
            <w:tcW w:type="dxa" w:w="7632"/>
            <w:shd w:fill="F2F6F4"/>
            <w:vAlign w:val="center"/>
          </w:tcPr>
          <w:p>
            <w:pPr>
              <w:spacing w:after="20"/>
            </w:pPr>
            <w:r>
              <w:rPr>
                <w:sz w:val="16"/>
              </w:rPr>
              <w:t>Payment (theo service bắt đầu luồng); nhánh liên quan được nêu nhưng không ghi test trùng</w:t>
            </w:r>
          </w:p>
        </w:tc>
      </w:tr>
      <w:tr>
        <w:tc>
          <w:tcPr>
            <w:tcW w:type="dxa" w:w="2160"/>
            <w:vAlign w:val="center"/>
          </w:tcPr>
          <w:p>
            <w:pPr>
              <w:spacing w:after="20"/>
            </w:pPr>
            <w:r>
              <w:rPr>
                <w:sz w:val="16"/>
              </w:rPr>
              <w:t>Phạm vi môi trường</w:t>
            </w:r>
          </w:p>
        </w:tc>
        <w:tc>
          <w:tcPr>
            <w:tcW w:type="dxa" w:w="7632"/>
            <w:vAlign w:val="center"/>
          </w:tcPr>
          <w:p>
            <w:pPr>
              <w:spacing w:after="20"/>
            </w:pPr>
            <w:r>
              <w:rPr>
                <w:sz w:val="16"/>
              </w:rPr>
              <w:t>.NET 10, PostgreSQL 16, mock payOS nội bộ; FE React/Vite; không sử dụng tiền hoặc khóa payOS thật</w:t>
            </w:r>
          </w:p>
        </w:tc>
      </w:tr>
    </w:tbl>
    <w:p/>
    <w:p>
      <w:pPr>
        <w:pStyle w:val="Heading1"/>
      </w:pPr>
      <w:r>
        <w:t>1. Tóm tắt kết quả</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4608"/>
            <w:shd w:fill="153D3B"/>
          </w:tcPr>
          <w:p>
            <w:r>
              <w:rPr>
                <w:b/>
                <w:color w:val="FFFFFF"/>
                <w:sz w:val="17"/>
              </w:rPr>
              <w:t>Nhóm kiểm tra</w:t>
            </w:r>
          </w:p>
        </w:tc>
        <w:tc>
          <w:tcPr>
            <w:tcW w:type="dxa" w:w="1152"/>
            <w:shd w:fill="153D3B"/>
          </w:tcPr>
          <w:p>
            <w:r>
              <w:rPr>
                <w:b/>
                <w:color w:val="FFFFFF"/>
                <w:sz w:val="17"/>
              </w:rPr>
              <w:t>PASS</w:t>
            </w:r>
          </w:p>
        </w:tc>
        <w:tc>
          <w:tcPr>
            <w:tcW w:type="dxa" w:w="1152"/>
            <w:shd w:fill="153D3B"/>
          </w:tcPr>
          <w:p>
            <w:r>
              <w:rPr>
                <w:b/>
                <w:color w:val="FFFFFF"/>
                <w:sz w:val="17"/>
              </w:rPr>
              <w:t>FAIL</w:t>
            </w:r>
          </w:p>
        </w:tc>
        <w:tc>
          <w:tcPr>
            <w:tcW w:type="dxa" w:w="1584"/>
            <w:shd w:fill="153D3B"/>
          </w:tcPr>
          <w:p>
            <w:r>
              <w:rPr>
                <w:b/>
                <w:color w:val="FFFFFF"/>
                <w:sz w:val="17"/>
              </w:rPr>
              <w:t>Chưa chạy</w:t>
            </w:r>
          </w:p>
        </w:tc>
        <w:tc>
          <w:tcPr>
            <w:tcW w:type="dxa" w:w="1296"/>
            <w:shd w:fill="153D3B"/>
          </w:tcPr>
          <w:p>
            <w:r>
              <w:rPr>
                <w:b/>
                <w:color w:val="FFFFFF"/>
                <w:sz w:val="17"/>
              </w:rPr>
              <w:t>BLOCKED</w:t>
            </w:r>
          </w:p>
        </w:tc>
      </w:tr>
      <w:tr>
        <w:tc>
          <w:tcPr>
            <w:tcW w:type="dxa" w:w="4608"/>
            <w:vAlign w:val="center"/>
          </w:tcPr>
          <w:p>
            <w:pPr>
              <w:spacing w:after="20"/>
            </w:pPr>
            <w:r>
              <w:rPr>
                <w:sz w:val="16"/>
              </w:rPr>
              <w:t>API smoke / auth / JSON</w:t>
            </w:r>
          </w:p>
        </w:tc>
        <w:tc>
          <w:tcPr>
            <w:tcW w:type="dxa" w:w="1152"/>
            <w:vAlign w:val="center"/>
          </w:tcPr>
          <w:p>
            <w:pPr>
              <w:spacing w:after="20"/>
            </w:pPr>
            <w:r>
              <w:rPr>
                <w:sz w:val="16"/>
              </w:rPr>
              <w:t>6</w:t>
            </w:r>
          </w:p>
        </w:tc>
        <w:tc>
          <w:tcPr>
            <w:tcW w:type="dxa" w:w="1152"/>
            <w:vAlign w:val="center"/>
          </w:tcPr>
          <w:p>
            <w:pPr>
              <w:spacing w:after="20"/>
            </w:pPr>
            <w:r>
              <w:rPr>
                <w:sz w:val="16"/>
              </w:rPr>
              <w:t>0</w:t>
            </w:r>
          </w:p>
        </w:tc>
        <w:tc>
          <w:tcPr>
            <w:tcW w:type="dxa" w:w="1584"/>
            <w:vAlign w:val="center"/>
          </w:tcPr>
          <w:p>
            <w:pPr>
              <w:spacing w:after="20"/>
            </w:pPr>
            <w:r>
              <w:rPr>
                <w:sz w:val="16"/>
              </w:rPr>
              <w:t>0</w:t>
            </w:r>
          </w:p>
        </w:tc>
        <w:tc>
          <w:tcPr>
            <w:tcW w:type="dxa" w:w="1296"/>
            <w:vAlign w:val="center"/>
          </w:tcPr>
          <w:p>
            <w:pPr>
              <w:spacing w:after="20"/>
            </w:pPr>
            <w:r>
              <w:rPr>
                <w:sz w:val="16"/>
              </w:rPr>
              <w:t>0</w:t>
            </w:r>
          </w:p>
        </w:tc>
      </w:tr>
      <w:tr>
        <w:tc>
          <w:tcPr>
            <w:tcW w:type="dxa" w:w="4608"/>
            <w:shd w:fill="F2F6F4"/>
            <w:vAlign w:val="center"/>
          </w:tcPr>
          <w:p>
            <w:pPr>
              <w:spacing w:after="20"/>
            </w:pPr>
            <w:r>
              <w:rPr>
                <w:sz w:val="16"/>
              </w:rPr>
              <w:t>PostgreSQL HTTP âm tính</w:t>
            </w:r>
          </w:p>
        </w:tc>
        <w:tc>
          <w:tcPr>
            <w:tcW w:type="dxa" w:w="1152"/>
            <w:shd w:fill="F2F6F4"/>
            <w:vAlign w:val="center"/>
          </w:tcPr>
          <w:p>
            <w:pPr>
              <w:spacing w:after="20"/>
            </w:pPr>
            <w:r>
              <w:rPr>
                <w:sz w:val="16"/>
              </w:rPr>
              <w:t>2</w:t>
            </w:r>
          </w:p>
        </w:tc>
        <w:tc>
          <w:tcPr>
            <w:tcW w:type="dxa" w:w="1152"/>
            <w:shd w:fill="F2F6F4"/>
            <w:vAlign w:val="center"/>
          </w:tcPr>
          <w:p>
            <w:pPr>
              <w:spacing w:after="20"/>
            </w:pPr>
            <w:r>
              <w:rPr>
                <w:sz w:val="16"/>
              </w:rPr>
              <w:t>0</w:t>
            </w:r>
          </w:p>
        </w:tc>
        <w:tc>
          <w:tcPr>
            <w:tcW w:type="dxa" w:w="1584"/>
            <w:shd w:fill="F2F6F4"/>
            <w:vAlign w:val="center"/>
          </w:tcPr>
          <w:p>
            <w:pPr>
              <w:spacing w:after="20"/>
            </w:pPr>
            <w:r>
              <w:rPr>
                <w:sz w:val="16"/>
              </w:rPr>
              <w:t>0</w:t>
            </w:r>
          </w:p>
        </w:tc>
        <w:tc>
          <w:tcPr>
            <w:tcW w:type="dxa" w:w="1296"/>
            <w:shd w:fill="F2F6F4"/>
            <w:vAlign w:val="center"/>
          </w:tcPr>
          <w:p>
            <w:pPr>
              <w:spacing w:after="20"/>
            </w:pPr>
            <w:r>
              <w:rPr>
                <w:sz w:val="16"/>
              </w:rPr>
              <w:t>0</w:t>
            </w:r>
          </w:p>
        </w:tc>
      </w:tr>
      <w:tr>
        <w:tc>
          <w:tcPr>
            <w:tcW w:type="dxa" w:w="4608"/>
            <w:vAlign w:val="center"/>
          </w:tcPr>
          <w:p>
            <w:pPr>
              <w:spacing w:after="20"/>
            </w:pPr>
            <w:r>
              <w:rPr>
                <w:sz w:val="16"/>
              </w:rPr>
              <w:t>Checkout / idempotency / DB</w:t>
            </w:r>
          </w:p>
        </w:tc>
        <w:tc>
          <w:tcPr>
            <w:tcW w:type="dxa" w:w="1152"/>
            <w:vAlign w:val="center"/>
          </w:tcPr>
          <w:p>
            <w:pPr>
              <w:spacing w:after="20"/>
            </w:pPr>
            <w:r>
              <w:rPr>
                <w:sz w:val="16"/>
              </w:rPr>
              <w:t>3</w:t>
            </w:r>
          </w:p>
        </w:tc>
        <w:tc>
          <w:tcPr>
            <w:tcW w:type="dxa" w:w="1152"/>
            <w:vAlign w:val="center"/>
          </w:tcPr>
          <w:p>
            <w:pPr>
              <w:spacing w:after="20"/>
            </w:pPr>
            <w:r>
              <w:rPr>
                <w:sz w:val="16"/>
              </w:rPr>
              <w:t>0</w:t>
            </w:r>
          </w:p>
        </w:tc>
        <w:tc>
          <w:tcPr>
            <w:tcW w:type="dxa" w:w="1584"/>
            <w:vAlign w:val="center"/>
          </w:tcPr>
          <w:p>
            <w:pPr>
              <w:spacing w:after="20"/>
            </w:pPr>
            <w:r>
              <w:rPr>
                <w:sz w:val="16"/>
              </w:rPr>
              <w:t>0</w:t>
            </w:r>
          </w:p>
        </w:tc>
        <w:tc>
          <w:tcPr>
            <w:tcW w:type="dxa" w:w="1296"/>
            <w:vAlign w:val="center"/>
          </w:tcPr>
          <w:p>
            <w:pPr>
              <w:spacing w:after="20"/>
            </w:pPr>
            <w:r>
              <w:rPr>
                <w:sz w:val="16"/>
              </w:rPr>
              <w:t>0</w:t>
            </w:r>
          </w:p>
        </w:tc>
      </w:tr>
      <w:tr>
        <w:tc>
          <w:tcPr>
            <w:tcW w:type="dxa" w:w="4608"/>
            <w:shd w:fill="F2F6F4"/>
            <w:vAlign w:val="center"/>
          </w:tcPr>
          <w:p>
            <w:pPr>
              <w:spacing w:after="20"/>
            </w:pPr>
            <w:r>
              <w:rPr>
                <w:sz w:val="16"/>
              </w:rPr>
              <w:t>Webhook</w:t>
            </w:r>
          </w:p>
        </w:tc>
        <w:tc>
          <w:tcPr>
            <w:tcW w:type="dxa" w:w="1152"/>
            <w:shd w:fill="F2F6F4"/>
            <w:vAlign w:val="center"/>
          </w:tcPr>
          <w:p>
            <w:pPr>
              <w:spacing w:after="20"/>
            </w:pPr>
            <w:r>
              <w:rPr>
                <w:sz w:val="16"/>
              </w:rPr>
              <w:t>1</w:t>
            </w:r>
          </w:p>
        </w:tc>
        <w:tc>
          <w:tcPr>
            <w:tcW w:type="dxa" w:w="1152"/>
            <w:shd w:fill="F2F6F4"/>
            <w:vAlign w:val="center"/>
          </w:tcPr>
          <w:p>
            <w:pPr>
              <w:spacing w:after="20"/>
            </w:pPr>
            <w:r>
              <w:rPr>
                <w:sz w:val="16"/>
              </w:rPr>
              <w:t>1</w:t>
            </w:r>
          </w:p>
        </w:tc>
        <w:tc>
          <w:tcPr>
            <w:tcW w:type="dxa" w:w="1584"/>
            <w:shd w:fill="F2F6F4"/>
            <w:vAlign w:val="center"/>
          </w:tcPr>
          <w:p>
            <w:pPr>
              <w:spacing w:after="20"/>
            </w:pPr>
            <w:r>
              <w:rPr>
                <w:sz w:val="16"/>
              </w:rPr>
              <w:t>3</w:t>
            </w:r>
          </w:p>
        </w:tc>
        <w:tc>
          <w:tcPr>
            <w:tcW w:type="dxa" w:w="1296"/>
            <w:shd w:fill="F2F6F4"/>
            <w:vAlign w:val="center"/>
          </w:tcPr>
          <w:p>
            <w:pPr>
              <w:spacing w:after="20"/>
            </w:pPr>
            <w:r>
              <w:rPr>
                <w:sz w:val="16"/>
              </w:rPr>
              <w:t>0</w:t>
            </w:r>
          </w:p>
        </w:tc>
      </w:tr>
      <w:tr>
        <w:tc>
          <w:tcPr>
            <w:tcW w:type="dxa" w:w="4608"/>
            <w:vAlign w:val="center"/>
          </w:tcPr>
          <w:p>
            <w:pPr>
              <w:spacing w:after="20"/>
            </w:pPr>
            <w:r>
              <w:rPr>
                <w:sz w:val="16"/>
              </w:rPr>
              <w:t>Status + DB webhook</w:t>
            </w:r>
          </w:p>
        </w:tc>
        <w:tc>
          <w:tcPr>
            <w:tcW w:type="dxa" w:w="1152"/>
            <w:vAlign w:val="center"/>
          </w:tcPr>
          <w:p>
            <w:pPr>
              <w:spacing w:after="20"/>
            </w:pPr>
            <w:r>
              <w:rPr>
                <w:sz w:val="16"/>
              </w:rPr>
              <w:t>0</w:t>
            </w:r>
          </w:p>
        </w:tc>
        <w:tc>
          <w:tcPr>
            <w:tcW w:type="dxa" w:w="1152"/>
            <w:vAlign w:val="center"/>
          </w:tcPr>
          <w:p>
            <w:pPr>
              <w:spacing w:after="20"/>
            </w:pPr>
            <w:r>
              <w:rPr>
                <w:sz w:val="16"/>
              </w:rPr>
              <w:t>0</w:t>
            </w:r>
          </w:p>
        </w:tc>
        <w:tc>
          <w:tcPr>
            <w:tcW w:type="dxa" w:w="1584"/>
            <w:vAlign w:val="center"/>
          </w:tcPr>
          <w:p>
            <w:pPr>
              <w:spacing w:after="20"/>
            </w:pPr>
            <w:r>
              <w:rPr>
                <w:sz w:val="16"/>
              </w:rPr>
              <w:t>1</w:t>
            </w:r>
          </w:p>
        </w:tc>
        <w:tc>
          <w:tcPr>
            <w:tcW w:type="dxa" w:w="1296"/>
            <w:vAlign w:val="center"/>
          </w:tcPr>
          <w:p>
            <w:pPr>
              <w:spacing w:after="20"/>
            </w:pPr>
            <w:r>
              <w:rPr>
                <w:sz w:val="16"/>
              </w:rPr>
              <w:t>0</w:t>
            </w:r>
          </w:p>
        </w:tc>
      </w:tr>
      <w:tr>
        <w:tc>
          <w:tcPr>
            <w:tcW w:type="dxa" w:w="4608"/>
            <w:shd w:fill="F2F6F4"/>
            <w:vAlign w:val="center"/>
          </w:tcPr>
          <w:p>
            <w:pPr>
              <w:spacing w:after="20"/>
            </w:pPr>
            <w:r>
              <w:rPr>
                <w:sz w:val="16"/>
              </w:rPr>
              <w:t>Reservation → Payment E2E</w:t>
            </w:r>
          </w:p>
        </w:tc>
        <w:tc>
          <w:tcPr>
            <w:tcW w:type="dxa" w:w="1152"/>
            <w:shd w:fill="F2F6F4"/>
            <w:vAlign w:val="center"/>
          </w:tcPr>
          <w:p>
            <w:pPr>
              <w:spacing w:after="20"/>
            </w:pPr>
            <w:r>
              <w:rPr>
                <w:sz w:val="16"/>
              </w:rPr>
              <w:t>0</w:t>
            </w:r>
          </w:p>
        </w:tc>
        <w:tc>
          <w:tcPr>
            <w:tcW w:type="dxa" w:w="1152"/>
            <w:shd w:fill="F2F6F4"/>
            <w:vAlign w:val="center"/>
          </w:tcPr>
          <w:p>
            <w:pPr>
              <w:spacing w:after="20"/>
            </w:pPr>
            <w:r>
              <w:rPr>
                <w:sz w:val="16"/>
              </w:rPr>
              <w:t>0</w:t>
            </w:r>
          </w:p>
        </w:tc>
        <w:tc>
          <w:tcPr>
            <w:tcW w:type="dxa" w:w="1584"/>
            <w:shd w:fill="F2F6F4"/>
            <w:vAlign w:val="center"/>
          </w:tcPr>
          <w:p>
            <w:pPr>
              <w:spacing w:after="20"/>
            </w:pPr>
            <w:r>
              <w:rPr>
                <w:sz w:val="16"/>
              </w:rPr>
              <w:t>0</w:t>
            </w:r>
          </w:p>
        </w:tc>
        <w:tc>
          <w:tcPr>
            <w:tcW w:type="dxa" w:w="1296"/>
            <w:shd w:fill="F2F6F4"/>
            <w:vAlign w:val="center"/>
          </w:tcPr>
          <w:p>
            <w:pPr>
              <w:spacing w:after="20"/>
            </w:pPr>
            <w:r>
              <w:rPr>
                <w:sz w:val="16"/>
              </w:rPr>
              <w:t>1</w:t>
            </w:r>
          </w:p>
        </w:tc>
      </w:tr>
      <w:tr>
        <w:tc>
          <w:tcPr>
            <w:tcW w:type="dxa" w:w="4608"/>
            <w:vAlign w:val="center"/>
          </w:tcPr>
          <w:p>
            <w:pPr>
              <w:spacing w:after="20"/>
            </w:pPr>
            <w:r>
              <w:rPr>
                <w:sz w:val="16"/>
              </w:rPr>
              <w:t>TỔNG QA CASES</w:t>
            </w:r>
          </w:p>
        </w:tc>
        <w:tc>
          <w:tcPr>
            <w:tcW w:type="dxa" w:w="1152"/>
            <w:vAlign w:val="center"/>
          </w:tcPr>
          <w:p>
            <w:pPr>
              <w:spacing w:after="20"/>
            </w:pPr>
            <w:r>
              <w:rPr>
                <w:sz w:val="16"/>
              </w:rPr>
              <w:t>12</w:t>
            </w:r>
          </w:p>
        </w:tc>
        <w:tc>
          <w:tcPr>
            <w:tcW w:type="dxa" w:w="1152"/>
            <w:vAlign w:val="center"/>
          </w:tcPr>
          <w:p>
            <w:pPr>
              <w:spacing w:after="20"/>
            </w:pPr>
            <w:r>
              <w:rPr>
                <w:sz w:val="16"/>
              </w:rPr>
              <w:t>1</w:t>
            </w:r>
          </w:p>
        </w:tc>
        <w:tc>
          <w:tcPr>
            <w:tcW w:type="dxa" w:w="1584"/>
            <w:vAlign w:val="center"/>
          </w:tcPr>
          <w:p>
            <w:pPr>
              <w:spacing w:after="20"/>
            </w:pPr>
            <w:r>
              <w:rPr>
                <w:sz w:val="16"/>
              </w:rPr>
              <w:t>4</w:t>
            </w:r>
          </w:p>
        </w:tc>
        <w:tc>
          <w:tcPr>
            <w:tcW w:type="dxa" w:w="1296"/>
            <w:vAlign w:val="center"/>
          </w:tcPr>
          <w:p>
            <w:pPr>
              <w:spacing w:after="20"/>
            </w:pPr>
            <w:r>
              <w:rPr>
                <w:sz w:val="16"/>
              </w:rPr>
              <w:t>1</w:t>
            </w:r>
          </w:p>
        </w:tc>
      </w:tr>
    </w:tbl>
    <w:p/>
    <w:p>
      <w:r>
        <w:rPr>
          <w:i/>
        </w:rPr>
        <w:t>Lưu ý: 18 test case QA của PaymentService không bao gồm 80 ca Unit/DI do Developer viết và QA chạy lại. 01 case webhook FAIL đã tái hiện hai lần nhưng chỉ tính là 01 test case.</w:t>
      </w:r>
    </w:p>
    <w:p>
      <w:pPr>
        <w:pStyle w:val="Heading1"/>
      </w:pPr>
      <w:r>
        <w:t>2. Unit Test (số liệu riêng, không cộng vào QA case)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3168"/>
            <w:shd w:fill="153D3B"/>
          </w:tcPr>
          <w:p>
            <w:r>
              <w:rPr>
                <w:b/>
                <w:color w:val="FFFFFF"/>
                <w:sz w:val="17"/>
              </w:rPr>
              <w:t>Bộ kiểm thử</w:t>
            </w:r>
          </w:p>
        </w:tc>
        <w:tc>
          <w:tcPr>
            <w:tcW w:type="dxa" w:w="1008"/>
            <w:shd w:fill="153D3B"/>
          </w:tcPr>
          <w:p>
            <w:r>
              <w:rPr>
                <w:b/>
                <w:color w:val="FFFFFF"/>
                <w:sz w:val="17"/>
              </w:rPr>
              <w:t>Passed</w:t>
            </w:r>
          </w:p>
        </w:tc>
        <w:tc>
          <w:tcPr>
            <w:tcW w:type="dxa" w:w="1008"/>
            <w:shd w:fill="153D3B"/>
          </w:tcPr>
          <w:p>
            <w:r>
              <w:rPr>
                <w:b/>
                <w:color w:val="FFFFFF"/>
                <w:sz w:val="17"/>
              </w:rPr>
              <w:t>Failed</w:t>
            </w:r>
          </w:p>
        </w:tc>
        <w:tc>
          <w:tcPr>
            <w:tcW w:type="dxa" w:w="1008"/>
            <w:shd w:fill="153D3B"/>
          </w:tcPr>
          <w:p>
            <w:r>
              <w:rPr>
                <w:b/>
                <w:color w:val="FFFFFF"/>
                <w:sz w:val="17"/>
              </w:rPr>
              <w:t>Skipped</w:t>
            </w:r>
          </w:p>
        </w:tc>
        <w:tc>
          <w:tcPr>
            <w:tcW w:type="dxa" w:w="3600"/>
            <w:shd w:fill="153D3B"/>
          </w:tcPr>
          <w:p>
            <w:r>
              <w:rPr>
                <w:b/>
                <w:color w:val="FFFFFF"/>
                <w:sz w:val="17"/>
              </w:rPr>
              <w:t>Nhận xét</w:t>
            </w:r>
          </w:p>
        </w:tc>
      </w:tr>
      <w:tr>
        <w:tc>
          <w:tcPr>
            <w:tcW w:type="dxa" w:w="3168"/>
            <w:vAlign w:val="center"/>
          </w:tcPr>
          <w:p>
            <w:pPr>
              <w:spacing w:after="20"/>
            </w:pPr>
            <w:r>
              <w:rPr>
                <w:sz w:val="16"/>
              </w:rPr>
              <w:t>PaymentService xUnit / DI</w:t>
            </w:r>
          </w:p>
        </w:tc>
        <w:tc>
          <w:tcPr>
            <w:tcW w:type="dxa" w:w="1008"/>
            <w:vAlign w:val="center"/>
          </w:tcPr>
          <w:p>
            <w:pPr>
              <w:spacing w:after="20"/>
            </w:pPr>
            <w:r>
              <w:rPr>
                <w:sz w:val="16"/>
              </w:rPr>
              <w:t>80</w:t>
            </w:r>
          </w:p>
        </w:tc>
        <w:tc>
          <w:tcPr>
            <w:tcW w:type="dxa" w:w="1008"/>
            <w:vAlign w:val="center"/>
          </w:tcPr>
          <w:p>
            <w:pPr>
              <w:spacing w:after="20"/>
            </w:pPr>
            <w:r>
              <w:rPr>
                <w:sz w:val="16"/>
              </w:rPr>
              <w:t>0</w:t>
            </w:r>
          </w:p>
        </w:tc>
        <w:tc>
          <w:tcPr>
            <w:tcW w:type="dxa" w:w="1008"/>
            <w:vAlign w:val="center"/>
          </w:tcPr>
          <w:p>
            <w:pPr>
              <w:spacing w:after="20"/>
            </w:pPr>
            <w:r>
              <w:rPr>
                <w:sz w:val="16"/>
              </w:rPr>
              <w:t>0</w:t>
            </w:r>
          </w:p>
        </w:tc>
        <w:tc>
          <w:tcPr>
            <w:tcW w:type="dxa" w:w="3600"/>
            <w:vAlign w:val="center"/>
          </w:tcPr>
          <w:p>
            <w:pPr>
              <w:spacing w:after="20"/>
            </w:pPr>
            <w:r>
              <w:rPr>
                <w:sz w:val="16"/>
              </w:rPr>
              <w:t>PASS tại baseline 5995394ef27c; không thay thế API/E2E bằng chứng</w:t>
            </w:r>
          </w:p>
        </w:tc>
      </w:tr>
    </w:tbl>
    <w:p/>
    <w:p>
      <w:pPr>
        <w:pStyle w:val="Heading1"/>
        <w:pageBreakBefore/>
      </w:pPr>
      <w:r>
        <w:t>3. Lỗi cần Developer xử lý</w:t>
      </w:r>
    </w:p>
    <w:tbl>
      <w:tblPr>
        <w:tblStyle w:val="TableGrid"/>
        <w:tblW w:type="auto" w:w="0"/>
        <w:jc w:val="center"/>
        <w:tblLook w:firstColumn="1" w:firstRow="1" w:lastColumn="0" w:lastRow="0" w:noHBand="0" w:noVBand="1" w:val="04A0"/>
      </w:tblPr>
      <w:tblGrid>
        <w:gridCol w:w="4997"/>
        <w:gridCol w:w="4997"/>
      </w:tblGrid>
      <w:tr>
        <w:tc>
          <w:tcPr>
            <w:tcW w:type="dxa" w:w="2304"/>
            <w:shd w:fill="153D3B"/>
          </w:tcPr>
          <w:p>
            <w:r>
              <w:rPr>
                <w:b/>
                <w:color w:val="FFFFFF"/>
                <w:sz w:val="17"/>
              </w:rPr>
              <w:t>Thuộc tính</w:t>
            </w:r>
          </w:p>
        </w:tc>
        <w:tc>
          <w:tcPr>
            <w:tcW w:type="dxa" w:w="7488"/>
            <w:shd w:fill="153D3B"/>
          </w:tcPr>
          <w:p>
            <w:r>
              <w:rPr>
                <w:b/>
                <w:color w:val="FFFFFF"/>
                <w:sz w:val="17"/>
              </w:rPr>
              <w:t>Kết quả kiểm tra</w:t>
            </w:r>
          </w:p>
        </w:tc>
      </w:tr>
      <w:tr>
        <w:tc>
          <w:tcPr>
            <w:tcW w:type="dxa" w:w="2304"/>
            <w:vAlign w:val="center"/>
          </w:tcPr>
          <w:p>
            <w:pPr>
              <w:spacing w:after="20"/>
            </w:pPr>
            <w:r>
              <w:rPr>
                <w:sz w:val="16"/>
              </w:rPr>
              <w:t>Jira Bug</w:t>
            </w:r>
          </w:p>
        </w:tc>
        <w:tc>
          <w:tcPr>
            <w:tcW w:type="dxa" w:w="7488"/>
            <w:vAlign w:val="center"/>
          </w:tcPr>
          <w:p>
            <w:pPr>
              <w:spacing w:after="20"/>
            </w:pPr>
            <w:r>
              <w:rPr>
                <w:sz w:val="16"/>
              </w:rPr>
              <w:t>SPARK-313 – Signed amount mismatch webhook returns HTTP 500</w:t>
            </w:r>
          </w:p>
        </w:tc>
      </w:tr>
      <w:tr>
        <w:tc>
          <w:tcPr>
            <w:tcW w:type="dxa" w:w="2304"/>
            <w:shd w:fill="F2F6F4"/>
            <w:vAlign w:val="center"/>
          </w:tcPr>
          <w:p>
            <w:pPr>
              <w:spacing w:after="20"/>
            </w:pPr>
            <w:r>
              <w:rPr>
                <w:sz w:val="16"/>
              </w:rPr>
              <w:t>Endpoint</w:t>
            </w:r>
          </w:p>
        </w:tc>
        <w:tc>
          <w:tcPr>
            <w:tcW w:type="dxa" w:w="7488"/>
            <w:shd w:fill="F2F6F4"/>
            <w:vAlign w:val="center"/>
          </w:tcPr>
          <w:p>
            <w:pPr>
              <w:spacing w:after="20"/>
            </w:pPr>
            <w:r>
              <w:rPr>
                <w:sz w:val="16"/>
              </w:rPr>
              <w:t>POST /api/v1/payments/callbacks/payos</w:t>
            </w:r>
          </w:p>
        </w:tc>
      </w:tr>
      <w:tr>
        <w:tc>
          <w:tcPr>
            <w:tcW w:type="dxa" w:w="2304"/>
            <w:vAlign w:val="center"/>
          </w:tcPr>
          <w:p>
            <w:pPr>
              <w:spacing w:after="20"/>
            </w:pPr>
            <w:r>
              <w:rPr>
                <w:sz w:val="16"/>
              </w:rPr>
              <w:t>Dữ liệu QA</w:t>
            </w:r>
          </w:p>
        </w:tc>
        <w:tc>
          <w:tcPr>
            <w:tcW w:type="dxa" w:w="7488"/>
            <w:vAlign w:val="center"/>
          </w:tcPr>
          <w:p>
            <w:pPr>
              <w:spacing w:after="20"/>
            </w:pPr>
            <w:r>
              <w:rPr>
                <w:sz w:val="16"/>
              </w:rPr>
              <w:t>Order pending: 25.000 VND; webhook ký HMAC QA hợp lệ với amount 25.001 VND</w:t>
            </w:r>
          </w:p>
        </w:tc>
      </w:tr>
      <w:tr>
        <w:tc>
          <w:tcPr>
            <w:tcW w:type="dxa" w:w="2304"/>
            <w:shd w:fill="F2F6F4"/>
            <w:vAlign w:val="center"/>
          </w:tcPr>
          <w:p>
            <w:pPr>
              <w:spacing w:after="20"/>
            </w:pPr>
            <w:r>
              <w:rPr>
                <w:sz w:val="16"/>
              </w:rPr>
              <w:t>Expected</w:t>
            </w:r>
          </w:p>
        </w:tc>
        <w:tc>
          <w:tcPr>
            <w:tcW w:type="dxa" w:w="7488"/>
            <w:shd w:fill="F2F6F4"/>
            <w:vAlign w:val="center"/>
          </w:tcPr>
          <w:p>
            <w:pPr>
              <w:spacing w:after="20"/>
            </w:pPr>
            <w:r>
              <w:rPr>
                <w:sz w:val="16"/>
              </w:rPr>
              <w:t>HTTP 400 với lỗi nghiệp vụ AMOUNT_MISMATCH; không đánh dấu giao dịch thành công</w:t>
            </w:r>
          </w:p>
        </w:tc>
      </w:tr>
      <w:tr>
        <w:tc>
          <w:tcPr>
            <w:tcW w:type="dxa" w:w="2304"/>
            <w:vAlign w:val="center"/>
          </w:tcPr>
          <w:p>
            <w:pPr>
              <w:spacing w:after="20"/>
            </w:pPr>
            <w:r>
              <w:rPr>
                <w:sz w:val="16"/>
              </w:rPr>
              <w:t>Actual</w:t>
            </w:r>
          </w:p>
        </w:tc>
        <w:tc>
          <w:tcPr>
            <w:tcW w:type="dxa" w:w="7488"/>
            <w:vAlign w:val="center"/>
          </w:tcPr>
          <w:p>
            <w:pPr>
              <w:spacing w:after="20"/>
            </w:pPr>
            <w:r>
              <w:rPr>
                <w:sz w:val="16"/>
              </w:rPr>
              <w:t>HTTP 500 INTERNAL_SERVER_ERROR; tái hiện 2 lần</w:t>
            </w:r>
          </w:p>
        </w:tc>
      </w:tr>
      <w:tr>
        <w:tc>
          <w:tcPr>
            <w:tcW w:type="dxa" w:w="2304"/>
            <w:shd w:fill="F2F6F4"/>
            <w:vAlign w:val="center"/>
          </w:tcPr>
          <w:p>
            <w:pPr>
              <w:spacing w:after="20"/>
            </w:pPr>
            <w:r>
              <w:rPr>
                <w:sz w:val="16"/>
              </w:rPr>
              <w:t>Đối chiếu DB sau lỗi</w:t>
            </w:r>
          </w:p>
        </w:tc>
        <w:tc>
          <w:tcPr>
            <w:tcW w:type="dxa" w:w="7488"/>
            <w:shd w:fill="F2F6F4"/>
            <w:vAlign w:val="center"/>
          </w:tcPr>
          <w:p>
            <w:pPr>
              <w:spacing w:after="20"/>
            </w:pPr>
            <w:r>
              <w:rPr>
                <w:sz w:val="16"/>
              </w:rPr>
              <w:t>Order PENDING; Transaction PENDING; 0 webhook bất thường lưu</w:t>
            </w:r>
          </w:p>
        </w:tc>
      </w:tr>
      <w:tr>
        <w:tc>
          <w:tcPr>
            <w:tcW w:type="dxa" w:w="2304"/>
            <w:vAlign w:val="center"/>
          </w:tcPr>
          <w:p>
            <w:pPr>
              <w:spacing w:after="20"/>
            </w:pPr>
            <w:r>
              <w:rPr>
                <w:sz w:val="16"/>
              </w:rPr>
              <w:t>Control test</w:t>
            </w:r>
          </w:p>
        </w:tc>
        <w:tc>
          <w:tcPr>
            <w:tcW w:type="dxa" w:w="7488"/>
            <w:vAlign w:val="center"/>
          </w:tcPr>
          <w:p>
            <w:pPr>
              <w:spacing w:after="20"/>
            </w:pPr>
            <w:r>
              <w:rPr>
                <w:sz w:val="16"/>
              </w:rPr>
              <w:t>Webhook chữ ký HMAC không hợp lệ: HTTP 400 INVALID_WEBHOOK_SIGNATURE (PASS)</w:t>
            </w:r>
          </w:p>
        </w:tc>
      </w:tr>
      <w:tr>
        <w:tc>
          <w:tcPr>
            <w:tcW w:type="dxa" w:w="2304"/>
            <w:shd w:fill="F2F6F4"/>
            <w:vAlign w:val="center"/>
          </w:tcPr>
          <w:p>
            <w:pPr>
              <w:spacing w:after="20"/>
            </w:pPr>
            <w:r>
              <w:rPr>
                <w:sz w:val="16"/>
              </w:rPr>
              <w:t>Trace ID</w:t>
            </w:r>
          </w:p>
        </w:tc>
        <w:tc>
          <w:tcPr>
            <w:tcW w:type="dxa" w:w="7488"/>
            <w:shd w:fill="F2F6F4"/>
            <w:vAlign w:val="center"/>
          </w:tcPr>
          <w:p>
            <w:pPr>
              <w:spacing w:after="20"/>
            </w:pPr>
            <w:r>
              <w:rPr>
                <w:sz w:val="16"/>
              </w:rPr>
              <w:t>00-ed0a6c2f8b195efeb541354a9e57e8cd-b0279a9b33c1fc25-00</w:t>
            </w:r>
          </w:p>
        </w:tc>
      </w:tr>
    </w:tbl>
    <w:p/>
    <w:p>
      <w:r>
        <w:t>Nhận định kỹ thuật (chưa xác nhận): cần kiểm tra EF Core entity state khi webhook mới được AddAsync rồi Update trước SaveChanges. Không ghi nguyên nhân gốc là đã chứng minh khi chưa có exception stack trace.</w:t>
      </w:r>
    </w:p>
    <w:p>
      <w:pPr>
        <w:pStyle w:val="Heading1"/>
      </w:pPr>
      <w:r>
        <w:t>4. Frontend và giới hạn E2E</w:t>
      </w:r>
    </w:p>
    <w:p>
      <w:pPr>
        <w:pStyle w:val="ListBullet"/>
      </w:pPr>
      <w:r>
        <w:t>Frontend production build PASS sau khi đồng bộ package theo lockfile (npm ci); lỗi thiếu motion/react ban đầu là do dependencies QA cục bộ.</w:t>
      </w:r>
    </w:p>
    <w:p>
      <w:pPr>
        <w:pStyle w:val="ListBullet"/>
      </w:pPr>
      <w:r>
        <w:t>Frontend HTTP smoke 200 và Homepage UAT HOME_OK tại 127.0.0.1:5173, hình ảnh được lưu trong log QA; trang chủ hiển thị logo/menu/hero bình thường.</w:t>
      </w:r>
    </w:p>
    <w:p>
      <w:pPr>
        <w:pStyle w:val="ListBullet"/>
      </w:pPr>
      <w:r>
        <w:t>Không có bằng chứng E2E booking/payment frontend thành công. FE BookingFlow hiện thông báo live checkout chưa kết nối; Reservation pricing-snapshot integration chưa có môi trường xác minh.</w:t>
      </w:r>
    </w:p>
    <w:p>
      <w:pPr>
        <w:pStyle w:val="ListBullet"/>
      </w:pPr>
      <w:r>
        <w:t>Không có giao dịch payOS thật. Không chứng minh happy path tài chính thực tế, duplicate callback, UNKNOWN reconciliation hay settlement boundary.</w:t>
      </w:r>
    </w:p>
    <w:p>
      <w:pPr>
        <w:pStyle w:val="ListBullet"/>
      </w:pPr>
      <w:r>
        <w:t>Jira SPARK-252 yêu cầu Postman collection không secrets, environment ví dụ, dynamic variable chaining, Newman evidence, real configured payOS verification; các mục này CHƯA HOÀN THÀNH.</w:t>
      </w:r>
    </w:p>
    <w:p>
      <w:pPr>
        <w:pStyle w:val="Heading1"/>
      </w:pPr>
      <w:r>
        <w:t>5. Quyết định QA và phạm vi retest</w:t>
      </w:r>
    </w:p>
    <w:tbl>
      <w:tblPr>
        <w:tblStyle w:val="TableGrid"/>
        <w:tblW w:type="auto" w:w="0"/>
        <w:jc w:val="center"/>
        <w:tblLook w:firstColumn="1" w:firstRow="1" w:lastColumn="0" w:lastRow="0" w:noHBand="0" w:noVBand="1" w:val="04A0"/>
      </w:tblPr>
      <w:tblGrid>
        <w:gridCol w:w="4997"/>
        <w:gridCol w:w="4997"/>
      </w:tblGrid>
      <w:tr>
        <w:tc>
          <w:tcPr>
            <w:tcW w:type="dxa" w:w="5184"/>
            <w:shd w:fill="153D3B"/>
          </w:tcPr>
          <w:p>
            <w:r>
              <w:rPr>
                <w:b/>
                <w:color w:val="FFFFFF"/>
                <w:sz w:val="17"/>
              </w:rPr>
              <w:t>Điều kiện</w:t>
            </w:r>
          </w:p>
        </w:tc>
        <w:tc>
          <w:tcPr>
            <w:tcW w:type="dxa" w:w="4608"/>
            <w:shd w:fill="153D3B"/>
          </w:tcPr>
          <w:p>
            <w:r>
              <w:rPr>
                <w:b/>
                <w:color w:val="FFFFFF"/>
                <w:sz w:val="17"/>
              </w:rPr>
              <w:t>Trạng thái</w:t>
            </w:r>
          </w:p>
        </w:tc>
      </w:tr>
      <w:tr>
        <w:tc>
          <w:tcPr>
            <w:tcW w:type="dxa" w:w="5184"/>
            <w:vAlign w:val="center"/>
          </w:tcPr>
          <w:p>
            <w:pPr>
              <w:spacing w:after="20"/>
            </w:pPr>
            <w:r>
              <w:rPr>
                <w:sz w:val="16"/>
              </w:rPr>
              <w:t>Bug SPARK-313</w:t>
            </w:r>
          </w:p>
        </w:tc>
        <w:tc>
          <w:tcPr>
            <w:tcW w:type="dxa" w:w="4608"/>
            <w:vAlign w:val="center"/>
          </w:tcPr>
          <w:p>
            <w:pPr>
              <w:spacing w:after="20"/>
            </w:pPr>
            <w:r>
              <w:rPr>
                <w:sz w:val="16"/>
              </w:rPr>
              <w:t>OPEN / triage Developer – không sign-off</w:t>
            </w:r>
          </w:p>
        </w:tc>
      </w:tr>
      <w:tr>
        <w:tc>
          <w:tcPr>
            <w:tcW w:type="dxa" w:w="5184"/>
            <w:shd w:fill="F2F6F4"/>
            <w:vAlign w:val="center"/>
          </w:tcPr>
          <w:p>
            <w:pPr>
              <w:spacing w:after="20"/>
            </w:pPr>
            <w:r>
              <w:rPr>
                <w:sz w:val="16"/>
              </w:rPr>
              <w:t>Webhook success / replay / status và DB event</w:t>
            </w:r>
          </w:p>
        </w:tc>
        <w:tc>
          <w:tcPr>
            <w:tcW w:type="dxa" w:w="4608"/>
            <w:shd w:fill="F2F6F4"/>
            <w:vAlign w:val="center"/>
          </w:tcPr>
          <w:p>
            <w:pPr>
              <w:spacing w:after="20"/>
            </w:pPr>
            <w:r>
              <w:rPr>
                <w:sz w:val="16"/>
              </w:rPr>
              <w:t>NOT RUN – cần retest sau khi sửa</w:t>
            </w:r>
          </w:p>
        </w:tc>
      </w:tr>
      <w:tr>
        <w:tc>
          <w:tcPr>
            <w:tcW w:type="dxa" w:w="5184"/>
            <w:vAlign w:val="center"/>
          </w:tcPr>
          <w:p>
            <w:pPr>
              <w:spacing w:after="20"/>
            </w:pPr>
            <w:r>
              <w:rPr>
                <w:sz w:val="16"/>
              </w:rPr>
              <w:t>Reservation/checkout E2E; real payOS</w:t>
            </w:r>
          </w:p>
        </w:tc>
        <w:tc>
          <w:tcPr>
            <w:tcW w:type="dxa" w:w="4608"/>
            <w:vAlign w:val="center"/>
          </w:tcPr>
          <w:p>
            <w:pPr>
              <w:spacing w:after="20"/>
            </w:pPr>
            <w:r>
              <w:rPr>
                <w:sz w:val="16"/>
              </w:rPr>
              <w:t>BLOCKED / PENDING ENVIRONMENT</w:t>
            </w:r>
          </w:p>
        </w:tc>
      </w:tr>
      <w:tr>
        <w:tc>
          <w:tcPr>
            <w:tcW w:type="dxa" w:w="5184"/>
            <w:shd w:fill="F2F6F4"/>
            <w:vAlign w:val="center"/>
          </w:tcPr>
          <w:p>
            <w:pPr>
              <w:spacing w:after="20"/>
            </w:pPr>
            <w:r>
              <w:rPr>
                <w:sz w:val="16"/>
              </w:rPr>
              <w:t>Postman + Newman deliverables</w:t>
            </w:r>
          </w:p>
        </w:tc>
        <w:tc>
          <w:tcPr>
            <w:tcW w:type="dxa" w:w="4608"/>
            <w:shd w:fill="F2F6F4"/>
            <w:vAlign w:val="center"/>
          </w:tcPr>
          <w:p>
            <w:pPr>
              <w:spacing w:after="20"/>
            </w:pPr>
            <w:r>
              <w:rPr>
                <w:sz w:val="16"/>
              </w:rPr>
              <w:t>MISSING, cần xây dựng theo Jira SPARK-252</w:t>
            </w:r>
          </w:p>
        </w:tc>
      </w:tr>
      <w:tr>
        <w:tc>
          <w:tcPr>
            <w:tcW w:type="dxa" w:w="5184"/>
            <w:vAlign w:val="center"/>
          </w:tcPr>
          <w:p>
            <w:pPr>
              <w:spacing w:after="20"/>
            </w:pPr>
            <w:r>
              <w:rPr>
                <w:sz w:val="16"/>
              </w:rPr>
              <w:t>Sign-off</w:t>
            </w:r>
          </w:p>
        </w:tc>
        <w:tc>
          <w:tcPr>
            <w:tcW w:type="dxa" w:w="4608"/>
            <w:vAlign w:val="center"/>
          </w:tcPr>
          <w:p>
            <w:pPr>
              <w:spacing w:after="20"/>
            </w:pPr>
            <w:r>
              <w:rPr>
                <w:sz w:val="16"/>
              </w:rPr>
              <w:t>KHÔNG; chỉ bàn giao báo cáo vòng đầu cho Leader</w:t>
            </w:r>
          </w:p>
        </w:tc>
      </w:tr>
    </w:tbl>
    <w:p/>
    <w:p>
      <w:r>
        <w:t>Quy tắc cập nhật: test mới bổ sung vào SmartParking_Payment_Master_TestCases.xlsx (một workbook duy nhất cho service); dùng chính Jira Testing SPARK-252 trong report/commit. Với task cũ, chỉ nhập CASE PASS khi đã đối chiếu file nguồn, commit, test steps và evidence; các tóm tắt cũ được ghi tại Migration Queue.</w:t>
      </w:r>
    </w:p>
    <w:p>
      <w:pPr>
        <w:pStyle w:val="Heading1"/>
        <w:pageBreakBefore/>
      </w:pPr>
      <w:r>
        <w:t>6. Bằng chứng và tham chiếu</w:t>
      </w:r>
    </w:p>
    <w:p>
      <w:r>
        <w:t>Jira Testing: https://mangamanagement.atlassian.net/browse/SPARK-252</w:t>
      </w:r>
    </w:p>
    <w:p>
      <w:r>
        <w:t>Jira Bug: https://mangamanagement.atlassian.net/browse/SPARK-313</w:t>
      </w:r>
    </w:p>
    <w:p>
      <w:r>
        <w:t>PR Developer: https://github.com/Quangthm/Mock-Project-Smart-Parking/pull/14</w:t>
      </w:r>
    </w:p>
    <w:p>
      <w:r>
        <w:t>PR báo cáo đang Draft: https://github.com/Quangthm/Mock-Project-Smart-Parking/pull/25</w:t>
      </w:r>
    </w:p>
    <w:p>
      <w:r>
        <w:t>Nguồn bằng chứng: PowerShell step 4–14, screenshot Frontend Homepage UAT 27/10/2026, đọc trạng thái DB QA. Log gốc nằm ở phiên kiểm thử; chưa có Newman export.</w:t>
      </w:r>
    </w:p>
    <w:p>
      <w:pPr>
        <w:pStyle w:val="Heading1"/>
      </w:pPr>
      <w:r>
        <w:t>Phụ lục A – Ảnh Homepage UAT</w:t>
      </w:r>
    </w:p>
    <w:p>
      <w:r>
        <w:rPr>
          <w:i/>
        </w:rPr>
        <w:t>Ảnh chụp từ Vite Preview 127.0.0.1:5173. Đây là bằng chứng hiển thị trang chủ, không chứng minh Payment FE E2E.</w:t>
      </w:r>
    </w:p>
    <w:p>
      <w:r>
        <w:drawing>
          <wp:inline xmlns:a="http://schemas.openxmlformats.org/drawingml/2006/main" xmlns:pic="http://schemas.openxmlformats.org/drawingml/2006/picture">
            <wp:extent cx="6080760" cy="2883529"/>
            <wp:docPr id="1" name="Picture 1"/>
            <wp:cNvGraphicFramePr>
              <a:graphicFrameLocks noChangeAspect="1"/>
            </wp:cNvGraphicFramePr>
            <a:graphic>
              <a:graphicData uri="http://schemas.openxmlformats.org/drawingml/2006/picture">
                <pic:pic>
                  <pic:nvPicPr>
                    <pic:cNvPr id="0" name="pr14_sanitized_homepage.png"/>
                    <pic:cNvPicPr/>
                  </pic:nvPicPr>
                  <pic:blipFill>
                    <a:blip r:embed="rId13"/>
                    <a:stretch>
                      <a:fillRect/>
                    </a:stretch>
                  </pic:blipFill>
                  <pic:spPr>
                    <a:xfrm>
                      <a:off x="0" y="0"/>
                      <a:ext cx="6080760" cy="2883529"/>
                    </a:xfrm>
                    <a:prstGeom prst="rect"/>
                  </pic:spPr>
                </pic:pic>
              </a:graphicData>
            </a:graphic>
          </wp:inline>
        </w:drawing>
      </w:r>
    </w:p>
    <w:p>
      <w:r>
        <w:t>Nguồn: ảnh do Tester cung cấp (27/10/2026).</w:t>
      </w:r>
    </w:p>
    <w:sectPr w:rsidR="00FC693F" w:rsidRPr="0006063C" w:rsidSect="00034616">
      <w:headerReference w:type="default" r:id="rId9"/>
      <w:footerReference w:type="default" r:id="rId10"/>
      <w:pgSz w:w="12240" w:h="15840"/>
      <w:pgMar w:top="1109"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06B"/>
        <w:sz w:val="16"/>
      </w:rPr>
      <w:t>SPARK-252 • Test report v1.0 • Draft for Leader review • 28/10/2026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86D"/>
        <w:sz w:val="16"/>
      </w:rPr>
      <w:t>SMARTPARKING  /  QA TEST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403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453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40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