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17"/>
        </w:rPr>
        <w:t>SMARTPARKING  •  DỰ THẢO THAM KHẢO</w:t>
      </w:r>
    </w:p>
    <w:p>
      <w:pPr>
        <w:pStyle w:val="Title"/>
        <w:jc w:val="center"/>
      </w:pPr>
      <w:r>
        <w:t>THỎA THUẬN HỢP TÁC KHAI THÁC BÃI ĐỖ XE SMARTPARKING</w:t>
      </w:r>
    </w:p>
    <w:p>
      <w:r>
        <w:t>Bản dự thảo này mô tả phạm vi hợp tác giữa đơn vị vận hành nền tảng SmartParking và Đối tác sở hữu hoặc quản lý bãi đỗ xe. Thông tin pháp nhân, biểu phí, thời hạn và người đại diện có thẩm quyền phải được hai bên đối chiếu và hoàn thiện trước khi ký hợp đồng chính thức.</w:t>
      </w:r>
    </w:p>
    <w:p>
      <w:pPr>
        <w:pStyle w:val="Heading1"/>
      </w:pPr>
      <w:r>
        <w:t>1. Các bên và địa điểm hợp tác</w:t>
      </w:r>
    </w:p>
    <w:p>
      <w:r>
        <w:t>Bên Nền tảng: đơn vị vận hành SmartParking; thông tin pháp nhân và người đại diện được điền vào bản hợp đồng chính thức.</w:t>
      </w:r>
    </w:p>
    <w:p>
      <w:r>
        <w:t>Bên Đối tác: chủ sở hữu hoặc đơn vị được ủy quyền khai thác bãi đỗ. Đối tác cung cấp tên doanh nghiệp, người đại diện, địa chỉ liên hệ và giấy tờ chứng minh quyền quản lý bãi.</w:t>
      </w:r>
    </w:p>
    <w:p>
      <w:r>
        <w:t>Bãi đỗ được hợp tác là địa điểm Đối tác khai báo trong hồ sơ đăng ký. Mọi thay đổi về địa điểm, quy mô hoặc quyền khai thác cần được thông báo và xác nhận trước khi hiển thị cho khách hàng.</w:t>
      </w:r>
    </w:p>
    <w:p>
      <w:pPr>
        <w:pStyle w:val="Heading1"/>
      </w:pPr>
      <w:r>
        <w:t>2. Phạm vi dịch vụ</w:t>
      </w:r>
    </w:p>
    <w:p>
      <w:r>
        <w:t>SmartParking cung cấp kênh giới thiệu bãi đỗ, tìm kiếm, đặt chỗ, quản lý thông tin chỗ đỗ và các chức năng thanh toán khi được triển khai và kích hoạt.</w:t>
      </w:r>
    </w:p>
    <w:p>
      <w:r>
        <w:t>Đối tác chịu trách nhiệm vận hành bãi, bảo đảm khả năng tiếp nhận xe, cập nhật tình trạng chỗ đỗ, niêm yết giá và hỗ trợ khách hàng tại bãi.</w:t>
      </w:r>
    </w:p>
    <w:p>
      <w:pPr>
        <w:pStyle w:val="Heading1"/>
      </w:pPr>
      <w:r>
        <w:t>3. Giá, thanh toán và đối soát</w:t>
      </w:r>
    </w:p>
    <w:p>
      <w:r>
        <w:t>Giá gửi xe, tiền đặt cọc (nếu có), tỷ lệ phí nền tảng, chu kỳ đối soát và thời hạn thanh toán được ghi trong Phụ lục thương mại đã được hai bên xác nhận; không suy ra các mức này từ bản dự thảo.</w:t>
      </w:r>
    </w:p>
    <w:p>
      <w:r>
        <w:t>Đối tác phải thông báo kịp thời các sai lệch giao dịch, hoàn tiền hoặc khiếu nại. Các khoản khấu trừ chỉ được thực hiện theo thỏa thuận và chứng từ đối soát phù hợp.</w:t>
      </w:r>
    </w:p>
    <w:p>
      <w:pPr>
        <w:pStyle w:val="Heading1"/>
      </w:pPr>
      <w:r>
        <w:t>4. Vận hành, an toàn và dữ liệu</w:t>
      </w:r>
    </w:p>
    <w:p>
      <w:r>
        <w:t>Đối tác bảo đảm biển báo, lối ra vào, thiết bị kiểm soát, camera và quy trình xử lý sự cố phù hợp với điều kiện thực tế của bãi và quy định áp dụng.</w:t>
      </w:r>
    </w:p>
    <w:p>
      <w:r>
        <w:t>Mỗi bên chỉ sử dụng dữ liệu khách hàng trong phạm vi cần thiết để thực hiện dịch vụ, kiểm soát quyền truy cập, xử lý sự cố bảo mật và phối hợp khi có yêu cầu hợp lệ.</w:t>
      </w:r>
    </w:p>
    <w:p>
      <w:r>
        <w:t>Model 3D do Đối tác cung cấp phải phản ánh cấu trúc bãi được phép khai thác. SmartParking có thể yêu cầu chỉnh sửa nếu model không phù hợp với thông tin hồ sơ hoặc gây lỗi hiển thị.</w:t>
      </w:r>
    </w:p>
    <w:p>
      <w:pPr>
        <w:pStyle w:val="Heading1"/>
      </w:pPr>
      <w:r>
        <w:t>5. Khiếu nại, tạm ngừng và chấm dứt</w:t>
      </w:r>
    </w:p>
    <w:p>
      <w:r>
        <w:t>Hai bên phối hợp xác minh khiếu nại về đặt chỗ, vé xe, thanh toán hoặc sự cố tại bãi. Bên trực tiếp quản lý hiện trường xử lý sự cố tại chỗ và cung cấp chứng cứ cần thiết.</w:t>
      </w:r>
    </w:p>
    <w:p>
      <w:r>
        <w:t>Một bên có thể đề nghị tạm ngừng hiển thị bãi khi có rủi ro an toàn, dữ liệu sai lệch nghiêm trọng hoặc vi phạm nghĩa vụ. Thời hạn khắc phục, điều kiện chấm dứt và nghĩa vụ sau chấm dứt được ghi trong bản hợp đồng chính thức.</w:t>
      </w:r>
    </w:p>
    <w:p>
      <w:pPr>
        <w:pStyle w:val="Heading1"/>
      </w:pPr>
      <w:r>
        <w:t>6. Hiệu lực và xác nhận</w:t>
      </w:r>
    </w:p>
    <w:p>
      <w:r>
        <w:t>Bản dự thảo trên giao diện chỉ phục vụ xem trước. Việc bấm nút xác nhận ở bản FE demo không thay thế chữ ký điện tử được xác thực, bản hợp đồng chính thức hoặc quy trình phê duyệt của SmartParking.</w:t>
      </w:r>
    </w:p>
    <w:p>
      <w:r>
        <w:t>Hợp đồng có hiệu lực khi đại diện có thẩm quyền của hai bên ký theo hình thức được thống nhất, thông tin các bên và Phụ lục thương mại đã hoàn thiện, và hệ thống lưu được bằng chứng ký phù hợp.</w:t>
      </w:r>
    </w:p>
    <w:p>
      <w:pPr>
        <w:pStyle w:val="Heading1"/>
      </w:pPr>
      <w:r>
        <w:t>THÔNG TIN CẦN HOÀN THIỆN</w:t>
      </w:r>
    </w:p>
    <w:p>
      <w:r>
        <w:t>Đối tác / doanh nghiệp: _______________________________________________</w:t>
      </w:r>
    </w:p>
    <w:p>
      <w:r>
        <w:t>Người đại diện có thẩm quyền: ________________________________________</w:t>
      </w:r>
    </w:p>
    <w:p>
      <w:r>
        <w:t>Tên và địa chỉ bãi đỗ: _________________________________________________</w:t>
      </w:r>
    </w:p>
    <w:p>
      <w:r>
        <w:t>Phụ lục thương mại và ngày hiệu lực: __________________________________</w:t>
      </w:r>
    </w:p>
    <w:p>
      <w:pPr>
        <w:pStyle w:val="Heading1"/>
      </w:pPr>
      <w:r>
        <w:t>XÁC NHẬN CỦA HAI BÊN</w:t>
      </w:r>
    </w:p>
    <w:tbl>
      <w:tblPr>
        <w:tblW w:type="auto" w:w="0"/>
        <w:tblLook w:firstColumn="1" w:firstRow="1" w:lastColumn="0" w:lastRow="0" w:noHBand="0" w:noVBand="1" w:val="04A0"/>
      </w:tblPr>
      <w:tblGrid>
        <w:gridCol w:w="4824"/>
        <w:gridCol w:w="4824"/>
      </w:tblGrid>
      <w:tr>
        <w:tc>
          <w:tcPr>
            <w:tcW w:type="dxa" w:w="4608"/>
            <w:tcBorders>
              <w:top w:val="single" w:sz="4" w:color="D9D9D9"/>
              <w:left w:val="single" w:sz="4" w:color="D9D9D9"/>
              <w:bottom w:val="single" w:sz="4" w:color="D9D9D9"/>
              <w:right w:val="single" w:sz="4" w:color="D9D9D9"/>
            </w:tcBorders>
          </w:tcPr>
          <w:p>
            <w:pPr>
              <w:spacing w:after="100"/>
            </w:pPr>
            <w:r>
              <w:t>ĐẠI DIỆN ĐỐI TÁC</w:t>
            </w:r>
          </w:p>
        </w:tc>
        <w:tc>
          <w:tcPr>
            <w:tcW w:type="dxa" w:w="4608"/>
            <w:tcBorders>
              <w:top w:val="single" w:sz="4" w:color="D9D9D9"/>
              <w:left w:val="single" w:sz="4" w:color="D9D9D9"/>
              <w:bottom w:val="single" w:sz="4" w:color="D9D9D9"/>
              <w:right w:val="single" w:sz="4" w:color="D9D9D9"/>
            </w:tcBorders>
          </w:tcPr>
          <w:p>
            <w:pPr>
              <w:spacing w:after="100"/>
            </w:pPr>
            <w:r>
              <w:t>ĐẠI DIỆN SMARTPARKING</w:t>
            </w:r>
          </w:p>
        </w:tc>
      </w:tr>
      <w:tr>
        <w:tc>
          <w:tcPr>
            <w:tcW w:type="dxa" w:w="4608"/>
            <w:tcBorders>
              <w:top w:val="single" w:sz="4" w:color="D9D9D9"/>
              <w:left w:val="single" w:sz="4" w:color="D9D9D9"/>
              <w:bottom w:val="single" w:sz="4" w:color="D9D9D9"/>
              <w:right w:val="single" w:sz="4" w:color="D9D9D9"/>
            </w:tcBorders>
          </w:tcPr>
          <w:p>
            <w:pPr>
              <w:spacing w:after="100"/>
            </w:pPr>
            <w:r>
              <w:t>Họ tên: ____________________</w:t>
              <w:br/>
              <w:t>Ngày: ______________________</w:t>
              <w:br/>
              <w:t>Chữ ký: ____________________</w:t>
            </w:r>
          </w:p>
        </w:tc>
        <w:tc>
          <w:tcPr>
            <w:tcW w:type="dxa" w:w="4608"/>
            <w:tcBorders>
              <w:top w:val="single" w:sz="4" w:color="D9D9D9"/>
              <w:left w:val="single" w:sz="4" w:color="D9D9D9"/>
              <w:bottom w:val="single" w:sz="4" w:color="D9D9D9"/>
              <w:right w:val="single" w:sz="4" w:color="D9D9D9"/>
            </w:tcBorders>
          </w:tcPr>
          <w:p>
            <w:pPr>
              <w:spacing w:after="100"/>
            </w:pPr>
            <w:r>
              <w:t>Họ tên: ____________________</w:t>
              <w:br/>
              <w:t>Ngày: ______________________</w:t>
              <w:br/>
              <w:t>Chữ ký, dấu: _______________</w:t>
            </w:r>
          </w:p>
        </w:tc>
      </w:tr>
    </w:tbl>
    <w:sectPr w:rsidR="00FC693F" w:rsidRPr="0006063C" w:rsidSect="00034616">
      <w:footerReference w:type="default" r:id="rId9"/>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SmartParking • Dự thảo cần được rà soát và ký chính thức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