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QA – PR #7 / PRICING</w:t>
      </w:r>
    </w:p>
    <w:p>
      <w:pPr>
        <w:pStyle w:val="Subtitle"/>
      </w:pPr>
      <w:r>
        <w:t>SPARK-314 · Historical QA · Không thay thế lỗi SPARK-311 và SPARK-297</w:t>
      </w:r>
    </w:p>
    <w:p>
      <w:pPr>
        <w:spacing w:after="160"/>
      </w:pPr>
      <w:r>
        <w:rPr>
          <w:b/>
          <w:color w:val="A2481D"/>
          <w:sz w:val="18"/>
        </w:rPr>
        <w:t>TRẠNG THÁI: QA HOLD / FIX REQUIRED</w:t>
      </w:r>
    </w:p>
    <w:p>
      <w:pPr>
        <w:pStyle w:val="Heading1"/>
      </w:pPr>
      <w:r>
        <w:t>1. Thông tin và phạm vi</w:t>
      </w:r>
    </w:p>
    <w:tbl>
      <w:tblPr>
        <w:tblStyle w:val="TableGrid"/>
        <w:tblW w:type="auto" w:w="0"/>
        <w:jc w:val="center"/>
        <w:tblLayout w:type="fixed"/>
        <w:tblLook w:firstColumn="1" w:firstRow="1" w:lastColumn="0" w:lastRow="0" w:noHBand="0" w:noVBand="1" w:val="04A0"/>
      </w:tblPr>
      <w:tblGrid>
        <w:gridCol w:w="2880"/>
        <w:gridCol w:w="6552"/>
      </w:tblGrid>
      <w:tr>
        <w:tc>
          <w:tcPr>
            <w:tcW w:type="dxa" w:w="2880"/>
            <w:shd w:fill="17364F"/>
            <w:tcBorders>
              <w:bottom w:val="single" w:sz="3" w:color="DCE4EB"/>
            </w:tcBorders>
            <w:vAlign w:val="center"/>
          </w:tcPr>
          <w:p>
            <w:pPr>
              <w:spacing w:after="20" w:before="20"/>
            </w:pPr>
            <w:r>
              <w:rPr>
                <w:b/>
                <w:color w:val="FFFFFF"/>
                <w:sz w:val="15"/>
              </w:rPr>
              <w:t>Trường</w:t>
            </w:r>
          </w:p>
        </w:tc>
        <w:tc>
          <w:tcPr>
            <w:tcW w:type="dxa" w:w="6552"/>
            <w:shd w:fill="17364F"/>
            <w:tcBorders>
              <w:bottom w:val="single" w:sz="3" w:color="DCE4EB"/>
            </w:tcBorders>
            <w:vAlign w:val="center"/>
          </w:tcPr>
          <w:p>
            <w:pPr>
              <w:spacing w:after="20" w:before="20"/>
            </w:pPr>
            <w:r>
              <w:rPr>
                <w:b/>
                <w:color w:val="FFFFFF"/>
                <w:sz w:val="15"/>
              </w:rPr>
              <w:t>Thông tin</w:t>
            </w:r>
          </w:p>
        </w:tc>
      </w:tr>
      <w:tr>
        <w:trPr>
          <w:cantSplit/>
        </w:trPr>
        <w:tc>
          <w:tcPr>
            <w:tcW w:type="dxa" w:w="2880"/>
            <w:vAlign w:val="center"/>
            <w:tcBorders>
              <w:bottom w:val="single" w:sz="3" w:color="DCE4EB"/>
            </w:tcBorders>
            <w:shd w:fill="F4F7F9"/>
          </w:tcPr>
          <w:p>
            <w:pPr>
              <w:spacing w:after="20" w:before="20"/>
            </w:pPr>
            <w:r>
              <w:rPr>
                <w:color w:val="1A2D43"/>
                <w:sz w:val="15"/>
              </w:rPr>
              <w:t>Testing Jira</w:t>
            </w:r>
          </w:p>
        </w:tc>
        <w:tc>
          <w:tcPr>
            <w:tcW w:type="dxa" w:w="6552"/>
            <w:vAlign w:val="center"/>
            <w:tcBorders>
              <w:bottom w:val="single" w:sz="3" w:color="DCE4EB"/>
            </w:tcBorders>
            <w:shd w:fill="F4F7F9"/>
          </w:tcPr>
          <w:p>
            <w:pPr>
              <w:spacing w:after="20" w:before="20"/>
            </w:pPr>
            <w:r>
              <w:rPr>
                <w:color w:val="1A2D43"/>
                <w:sz w:val="15"/>
              </w:rPr>
              <w:t>SPARK-314 – Pricing Calculator API/Database QA Testing &amp; Regression</w:t>
            </w:r>
          </w:p>
        </w:tc>
      </w:tr>
      <w:tr>
        <w:trPr>
          <w:cantSplit/>
        </w:trPr>
        <w:tc>
          <w:tcPr>
            <w:tcW w:type="dxa" w:w="2880"/>
            <w:vAlign w:val="center"/>
            <w:tcBorders>
              <w:bottom w:val="single" w:sz="3" w:color="DCE4EB"/>
            </w:tcBorders>
          </w:tcPr>
          <w:p>
            <w:pPr>
              <w:spacing w:after="20" w:before="20"/>
            </w:pPr>
            <w:r>
              <w:rPr>
                <w:color w:val="1A2D43"/>
                <w:sz w:val="15"/>
              </w:rPr>
              <w:t>Chức năng</w:t>
            </w:r>
          </w:p>
        </w:tc>
        <w:tc>
          <w:tcPr>
            <w:tcW w:type="dxa" w:w="6552"/>
            <w:vAlign w:val="center"/>
            <w:tcBorders>
              <w:bottom w:val="single" w:sz="3" w:color="DCE4EB"/>
            </w:tcBorders>
          </w:tcPr>
          <w:p>
            <w:pPr>
              <w:spacing w:after="20" w:before="20"/>
            </w:pPr>
            <w:r>
              <w:rPr>
                <w:color w:val="1A2D43"/>
                <w:sz w:val="15"/>
              </w:rPr>
              <w:t>Pricing Calculator theo Payment &amp; Pricing contract, snapshot Reservation, PostgreSQL</w:t>
            </w:r>
          </w:p>
        </w:tc>
      </w:tr>
      <w:tr>
        <w:trPr>
          <w:cantSplit/>
        </w:trPr>
        <w:tc>
          <w:tcPr>
            <w:tcW w:type="dxa" w:w="2880"/>
            <w:vAlign w:val="center"/>
            <w:tcBorders>
              <w:bottom w:val="single" w:sz="3" w:color="DCE4EB"/>
            </w:tcBorders>
            <w:shd w:fill="F4F7F9"/>
          </w:tcPr>
          <w:p>
            <w:pPr>
              <w:spacing w:after="20" w:before="20"/>
            </w:pPr>
            <w:r>
              <w:rPr>
                <w:color w:val="1A2D43"/>
                <w:sz w:val="15"/>
              </w:rPr>
              <w:t>Developer PR</w:t>
            </w:r>
          </w:p>
        </w:tc>
        <w:tc>
          <w:tcPr>
            <w:tcW w:type="dxa" w:w="6552"/>
            <w:vAlign w:val="center"/>
            <w:tcBorders>
              <w:bottom w:val="single" w:sz="3" w:color="DCE4EB"/>
            </w:tcBorders>
            <w:shd w:fill="F4F7F9"/>
          </w:tcPr>
          <w:p>
            <w:pPr>
              <w:spacing w:after="20" w:before="20"/>
            </w:pPr>
            <w:r>
              <w:rPr>
                <w:color w:val="1A2D43"/>
                <w:sz w:val="15"/>
              </w:rPr>
              <w:t>https://github.com/Quangthm/Mock-Project-Smart-Parking/pull/7</w:t>
            </w:r>
          </w:p>
        </w:tc>
      </w:tr>
      <w:tr>
        <w:trPr>
          <w:cantSplit/>
        </w:trPr>
        <w:tc>
          <w:tcPr>
            <w:tcW w:type="dxa" w:w="2880"/>
            <w:vAlign w:val="center"/>
            <w:tcBorders>
              <w:bottom w:val="single" w:sz="3" w:color="DCE4EB"/>
            </w:tcBorders>
          </w:tcPr>
          <w:p>
            <w:pPr>
              <w:spacing w:after="20" w:before="20"/>
            </w:pPr>
            <w:r>
              <w:rPr>
                <w:color w:val="1A2D43"/>
                <w:sz w:val="15"/>
              </w:rPr>
              <w:t>Baseline kiểm thử</w:t>
            </w:r>
          </w:p>
        </w:tc>
        <w:tc>
          <w:tcPr>
            <w:tcW w:type="dxa" w:w="6552"/>
            <w:vAlign w:val="center"/>
            <w:tcBorders>
              <w:bottom w:val="single" w:sz="3" w:color="DCE4EB"/>
            </w:tcBorders>
          </w:tcPr>
          <w:p>
            <w:pPr>
              <w:spacing w:after="20" w:before="20"/>
            </w:pPr>
            <w:r>
              <w:rPr>
                <w:color w:val="1A2D43"/>
                <w:sz w:val="15"/>
              </w:rPr>
              <w:t>fe13d7ce0895786dfcd6906ff81cd6a6edbf023f</w:t>
            </w:r>
          </w:p>
        </w:tc>
      </w:tr>
      <w:tr>
        <w:trPr>
          <w:cantSplit/>
        </w:trPr>
        <w:tc>
          <w:tcPr>
            <w:tcW w:type="dxa" w:w="2880"/>
            <w:vAlign w:val="center"/>
            <w:tcBorders>
              <w:bottom w:val="single" w:sz="3" w:color="DCE4EB"/>
            </w:tcBorders>
            <w:shd w:fill="F4F7F9"/>
          </w:tcPr>
          <w:p>
            <w:pPr>
              <w:spacing w:after="20" w:before="20"/>
            </w:pPr>
            <w:r>
              <w:rPr>
                <w:color w:val="1A2D43"/>
                <w:sz w:val="15"/>
              </w:rPr>
              <w:t>Thời điểm / môi trường</w:t>
            </w:r>
          </w:p>
        </w:tc>
        <w:tc>
          <w:tcPr>
            <w:tcW w:type="dxa" w:w="6552"/>
            <w:vAlign w:val="center"/>
            <w:tcBorders>
              <w:bottom w:val="single" w:sz="3" w:color="DCE4EB"/>
            </w:tcBorders>
            <w:shd w:fill="F4F7F9"/>
          </w:tcPr>
          <w:p>
            <w:pPr>
              <w:spacing w:after="20" w:before="20"/>
            </w:pPr>
            <w:r>
              <w:rPr>
                <w:color w:val="1A2D43"/>
                <w:sz w:val="15"/>
              </w:rPr>
              <w:t>27/10/2026; .NET 10.0.301, PostgreSQL 16 QA, mock Reservation</w:t>
            </w:r>
          </w:p>
        </w:tc>
      </w:tr>
      <w:tr>
        <w:trPr>
          <w:cantSplit/>
        </w:trPr>
        <w:tc>
          <w:tcPr>
            <w:tcW w:type="dxa" w:w="2880"/>
            <w:vAlign w:val="center"/>
            <w:tcBorders>
              <w:bottom w:val="single" w:sz="3" w:color="DCE4EB"/>
            </w:tcBorders>
          </w:tcPr>
          <w:p>
            <w:pPr>
              <w:spacing w:after="20" w:before="20"/>
            </w:pPr>
            <w:r>
              <w:rPr>
                <w:color w:val="1A2D43"/>
                <w:sz w:val="15"/>
              </w:rPr>
              <w:t>Service gốc / phân loại</w:t>
            </w:r>
          </w:p>
        </w:tc>
        <w:tc>
          <w:tcPr>
            <w:tcW w:type="dxa" w:w="6552"/>
            <w:vAlign w:val="center"/>
            <w:tcBorders>
              <w:bottom w:val="single" w:sz="3" w:color="DCE4EB"/>
            </w:tcBorders>
          </w:tcPr>
          <w:p>
            <w:pPr>
              <w:spacing w:after="20" w:before="20"/>
            </w:pPr>
            <w:r>
              <w:rPr>
                <w:color w:val="1A2D43"/>
                <w:sz w:val="15"/>
              </w:rPr>
              <w:t>Payment</w:t>
            </w:r>
          </w:p>
        </w:tc>
      </w:tr>
      <w:tr>
        <w:trPr>
          <w:cantSplit/>
        </w:trPr>
        <w:tc>
          <w:tcPr>
            <w:tcW w:type="dxa" w:w="2880"/>
            <w:vAlign w:val="center"/>
            <w:tcBorders>
              <w:bottom w:val="single" w:sz="3" w:color="DCE4EB"/>
            </w:tcBorders>
            <w:shd w:fill="F4F7F9"/>
          </w:tcPr>
          <w:p>
            <w:pPr>
              <w:spacing w:after="20" w:before="20"/>
            </w:pPr>
            <w:r>
              <w:rPr>
                <w:color w:val="1A2D43"/>
                <w:sz w:val="15"/>
              </w:rPr>
              <w:t>Kết luận QA</w:t>
            </w:r>
          </w:p>
        </w:tc>
        <w:tc>
          <w:tcPr>
            <w:tcW w:type="dxa" w:w="6552"/>
            <w:vAlign w:val="center"/>
            <w:tcBorders>
              <w:bottom w:val="single" w:sz="3" w:color="DCE4EB"/>
            </w:tcBorders>
            <w:shd w:fill="F4F7F9"/>
          </w:tcPr>
          <w:p>
            <w:pPr>
              <w:spacing w:after="20" w:before="20"/>
            </w:pPr>
            <w:r>
              <w:rPr>
                <w:color w:val="1A2D43"/>
                <w:sz w:val="15"/>
              </w:rPr>
              <w:t>QA HOLD; enum chuỗi FAIL, real Reservation E2E NOT RUN</w:t>
            </w:r>
          </w:p>
        </w:tc>
      </w:tr>
    </w:tbl>
    <w:p>
      <w:pPr>
        <w:spacing w:after="0"/>
      </w:pPr>
    </w:p>
    <w:p>
      <w:pPr>
        <w:pStyle w:val="Heading1"/>
      </w:pPr>
      <w:r>
        <w:t>2. Tóm tắt điều hành</w:t>
      </w:r>
    </w:p>
    <w:p>
      <w:r>
        <w:t>PaymentService pricing/API và PostgreSQL đạt các kiểm thử đã chạy. Luồng ReservationPricingSnapshot nhận JSON hợp lệ với enum dạng chuỗi bị trả 422/CORRUPTED_POLICY_SNAPSHOT thay vì HTTP 200. Lỗi đã được đăng Jira SPARK-311; bản sửa chưa được QA xác minh tại develop 8025feb3. SPARK-297 liên quan schema/kiến trúc còn Review.</w:t>
      </w:r>
    </w:p>
    <w:tbl>
      <w:tblPr>
        <w:tblStyle w:val="TableGrid"/>
        <w:tblW w:type="auto" w:w="0"/>
        <w:jc w:val="center"/>
        <w:tblLayout w:type="fixed"/>
        <w:tblLook w:firstColumn="1" w:firstRow="1" w:lastColumn="0" w:lastRow="0" w:noHBand="0" w:noVBand="1" w:val="04A0"/>
      </w:tblPr>
      <w:tblGrid>
        <w:gridCol w:w="3053"/>
        <w:gridCol w:w="662"/>
        <w:gridCol w:w="662"/>
        <w:gridCol w:w="893"/>
        <w:gridCol w:w="4018"/>
      </w:tblGrid>
      <w:tr>
        <w:tc>
          <w:tcPr>
            <w:tcW w:type="dxa" w:w="3053"/>
            <w:shd w:fill="17364F"/>
            <w:tcBorders>
              <w:bottom w:val="single" w:sz="3" w:color="DCE4EB"/>
            </w:tcBorders>
            <w:vAlign w:val="center"/>
          </w:tcPr>
          <w:p>
            <w:pPr>
              <w:spacing w:after="20" w:before="20"/>
            </w:pPr>
            <w:r>
              <w:rPr>
                <w:b/>
                <w:color w:val="FFFFFF"/>
                <w:sz w:val="15"/>
              </w:rPr>
              <w:t>Nhóm QA độc lập</w:t>
            </w:r>
          </w:p>
        </w:tc>
        <w:tc>
          <w:tcPr>
            <w:tcW w:type="dxa" w:w="662"/>
            <w:shd w:fill="17364F"/>
            <w:tcBorders>
              <w:bottom w:val="single" w:sz="3" w:color="DCE4EB"/>
            </w:tcBorders>
            <w:vAlign w:val="center"/>
          </w:tcPr>
          <w:p>
            <w:pPr>
              <w:spacing w:after="20" w:before="20"/>
            </w:pPr>
            <w:r>
              <w:rPr>
                <w:b/>
                <w:color w:val="FFFFFF"/>
                <w:sz w:val="15"/>
              </w:rPr>
              <w:t>PASS</w:t>
            </w:r>
          </w:p>
        </w:tc>
        <w:tc>
          <w:tcPr>
            <w:tcW w:type="dxa" w:w="662"/>
            <w:shd w:fill="17364F"/>
            <w:tcBorders>
              <w:bottom w:val="single" w:sz="3" w:color="DCE4EB"/>
            </w:tcBorders>
            <w:vAlign w:val="center"/>
          </w:tcPr>
          <w:p>
            <w:pPr>
              <w:spacing w:after="20" w:before="20"/>
            </w:pPr>
            <w:r>
              <w:rPr>
                <w:b/>
                <w:color w:val="FFFFFF"/>
                <w:sz w:val="15"/>
              </w:rPr>
              <w:t>FAIL</w:t>
            </w:r>
          </w:p>
        </w:tc>
        <w:tc>
          <w:tcPr>
            <w:tcW w:type="dxa" w:w="893"/>
            <w:shd w:fill="17364F"/>
            <w:tcBorders>
              <w:bottom w:val="single" w:sz="3" w:color="DCE4EB"/>
            </w:tcBorders>
            <w:vAlign w:val="center"/>
          </w:tcPr>
          <w:p>
            <w:pPr>
              <w:spacing w:after="20" w:before="20"/>
            </w:pPr>
            <w:r>
              <w:rPr>
                <w:b/>
                <w:color w:val="FFFFFF"/>
                <w:sz w:val="15"/>
              </w:rPr>
              <w:t>NOT RUN</w:t>
            </w:r>
          </w:p>
        </w:tc>
        <w:tc>
          <w:tcPr>
            <w:tcW w:type="dxa" w:w="4018"/>
            <w:shd w:fill="17364F"/>
            <w:tcBorders>
              <w:bottom w:val="single" w:sz="3" w:color="DCE4EB"/>
            </w:tcBorders>
            <w:vAlign w:val="center"/>
          </w:tcPr>
          <w:p>
            <w:pPr>
              <w:spacing w:after="20" w:before="20"/>
            </w:pPr>
            <w:r>
              <w:rPr>
                <w:b/>
                <w:color w:val="FFFFFF"/>
                <w:sz w:val="15"/>
              </w:rPr>
              <w:t>Căn cứ</w:t>
            </w:r>
          </w:p>
        </w:tc>
      </w:tr>
      <w:tr>
        <w:trPr>
          <w:cantSplit/>
        </w:trPr>
        <w:tc>
          <w:tcPr>
            <w:tcW w:type="dxa" w:w="3053"/>
            <w:vAlign w:val="center"/>
            <w:tcBorders>
              <w:bottom w:val="single" w:sz="3" w:color="DCE4EB"/>
            </w:tcBorders>
            <w:shd w:fill="F4F7F9"/>
          </w:tcPr>
          <w:p>
            <w:pPr>
              <w:spacing w:after="20" w:before="20"/>
            </w:pPr>
            <w:r>
              <w:rPr>
                <w:color w:val="1A2D43"/>
                <w:sz w:val="15"/>
              </w:rPr>
              <w:t>Pricing HTTP smoke</w:t>
            </w:r>
          </w:p>
        </w:tc>
        <w:tc>
          <w:tcPr>
            <w:tcW w:type="dxa" w:w="662"/>
            <w:vAlign w:val="center"/>
            <w:tcBorders>
              <w:bottom w:val="single" w:sz="3" w:color="DCE4EB"/>
            </w:tcBorders>
            <w:shd w:fill="F4F7F9"/>
          </w:tcPr>
          <w:p>
            <w:pPr>
              <w:spacing w:after="20" w:before="20"/>
            </w:pPr>
            <w:r>
              <w:rPr>
                <w:color w:val="1A2D43"/>
                <w:sz w:val="15"/>
              </w:rPr>
              <w:t>10</w:t>
            </w:r>
          </w:p>
        </w:tc>
        <w:tc>
          <w:tcPr>
            <w:tcW w:type="dxa" w:w="662"/>
            <w:vAlign w:val="center"/>
            <w:tcBorders>
              <w:bottom w:val="single" w:sz="3" w:color="DCE4EB"/>
            </w:tcBorders>
            <w:shd w:fill="F4F7F9"/>
          </w:tcPr>
          <w:p>
            <w:pPr>
              <w:spacing w:after="20" w:before="20"/>
            </w:pPr>
            <w:r>
              <w:rPr>
                <w:color w:val="1A2D43"/>
                <w:sz w:val="15"/>
              </w:rPr>
              <w:t>0</w:t>
            </w:r>
          </w:p>
        </w:tc>
        <w:tc>
          <w:tcPr>
            <w:tcW w:type="dxa" w:w="893"/>
            <w:vAlign w:val="center"/>
            <w:tcBorders>
              <w:bottom w:val="single" w:sz="3" w:color="DCE4EB"/>
            </w:tcBorders>
            <w:shd w:fill="F4F7F9"/>
          </w:tcPr>
          <w:p>
            <w:pPr>
              <w:spacing w:after="20" w:before="20"/>
            </w:pPr>
            <w:r>
              <w:rPr>
                <w:color w:val="1A2D43"/>
                <w:sz w:val="15"/>
              </w:rPr>
              <w:t>0</w:t>
            </w:r>
          </w:p>
        </w:tc>
        <w:tc>
          <w:tcPr>
            <w:tcW w:type="dxa" w:w="4018"/>
            <w:vAlign w:val="center"/>
            <w:tcBorders>
              <w:bottom w:val="single" w:sz="3" w:color="DCE4EB"/>
            </w:tcBorders>
            <w:shd w:fill="F4F7F9"/>
          </w:tcPr>
          <w:p>
            <w:pPr>
              <w:spacing w:after="20" w:before="20"/>
            </w:pPr>
            <w:r>
              <w:rPr>
                <w:color w:val="1A2D43"/>
                <w:sz w:val="15"/>
              </w:rPr>
              <w:t>Grace, cross-block, midnight, validation/auth</w:t>
            </w:r>
          </w:p>
        </w:tc>
      </w:tr>
      <w:tr>
        <w:trPr>
          <w:cantSplit/>
        </w:trPr>
        <w:tc>
          <w:tcPr>
            <w:tcW w:type="dxa" w:w="3053"/>
            <w:vAlign w:val="center"/>
            <w:tcBorders>
              <w:bottom w:val="single" w:sz="3" w:color="DCE4EB"/>
            </w:tcBorders>
          </w:tcPr>
          <w:p>
            <w:pPr>
              <w:spacing w:after="20" w:before="20"/>
            </w:pPr>
            <w:r>
              <w:rPr>
                <w:color w:val="1A2D43"/>
                <w:sz w:val="15"/>
              </w:rPr>
              <w:t>PaymentDb QA HTTP</w:t>
            </w:r>
          </w:p>
        </w:tc>
        <w:tc>
          <w:tcPr>
            <w:tcW w:type="dxa" w:w="662"/>
            <w:vAlign w:val="center"/>
            <w:tcBorders>
              <w:bottom w:val="single" w:sz="3" w:color="DCE4EB"/>
            </w:tcBorders>
          </w:tcPr>
          <w:p>
            <w:pPr>
              <w:spacing w:after="20" w:before="20"/>
            </w:pPr>
            <w:r>
              <w:rPr>
                <w:color w:val="1A2D43"/>
                <w:sz w:val="15"/>
              </w:rPr>
              <w:t>4</w:t>
            </w:r>
          </w:p>
        </w:tc>
        <w:tc>
          <w:tcPr>
            <w:tcW w:type="dxa" w:w="662"/>
            <w:vAlign w:val="center"/>
            <w:tcBorders>
              <w:bottom w:val="single" w:sz="3" w:color="DCE4EB"/>
            </w:tcBorders>
          </w:tcPr>
          <w:p>
            <w:pPr>
              <w:spacing w:after="20" w:before="20"/>
            </w:pPr>
            <w:r>
              <w:rPr>
                <w:color w:val="1A2D43"/>
                <w:sz w:val="15"/>
              </w:rPr>
              <w:t>0</w:t>
            </w:r>
          </w:p>
        </w:tc>
        <w:tc>
          <w:tcPr>
            <w:tcW w:type="dxa" w:w="893"/>
            <w:vAlign w:val="center"/>
            <w:tcBorders>
              <w:bottom w:val="single" w:sz="3" w:color="DCE4EB"/>
            </w:tcBorders>
          </w:tcPr>
          <w:p>
            <w:pPr>
              <w:spacing w:after="20" w:before="20"/>
            </w:pPr>
            <w:r>
              <w:rPr>
                <w:color w:val="1A2D43"/>
                <w:sz w:val="15"/>
              </w:rPr>
              <w:t>0</w:t>
            </w:r>
          </w:p>
        </w:tc>
        <w:tc>
          <w:tcPr>
            <w:tcW w:type="dxa" w:w="4018"/>
            <w:vAlign w:val="center"/>
            <w:tcBorders>
              <w:bottom w:val="single" w:sz="3" w:color="DCE4EB"/>
            </w:tcBorders>
          </w:tcPr>
          <w:p>
            <w:pPr>
              <w:spacing w:after="20" w:before="20"/>
            </w:pPr>
            <w:r>
              <w:rPr>
                <w:color w:val="1A2D43"/>
                <w:sz w:val="15"/>
              </w:rPr>
              <w:t>QA tariff fixture: 0 / 5.000 / 50.000 VNĐ</w:t>
            </w:r>
          </w:p>
        </w:tc>
      </w:tr>
      <w:tr>
        <w:trPr>
          <w:cantSplit/>
        </w:trPr>
        <w:tc>
          <w:tcPr>
            <w:tcW w:type="dxa" w:w="3053"/>
            <w:vAlign w:val="center"/>
            <w:tcBorders>
              <w:bottom w:val="single" w:sz="3" w:color="DCE4EB"/>
            </w:tcBorders>
            <w:shd w:fill="F4F7F9"/>
          </w:tcPr>
          <w:p>
            <w:pPr>
              <w:spacing w:after="20" w:before="20"/>
            </w:pPr>
            <w:r>
              <w:rPr>
                <w:color w:val="1A2D43"/>
                <w:sz w:val="15"/>
              </w:rPr>
              <w:t>Reservation fault branch</w:t>
            </w:r>
          </w:p>
        </w:tc>
        <w:tc>
          <w:tcPr>
            <w:tcW w:type="dxa" w:w="662"/>
            <w:vAlign w:val="center"/>
            <w:tcBorders>
              <w:bottom w:val="single" w:sz="3" w:color="DCE4EB"/>
            </w:tcBorders>
            <w:shd w:fill="F4F7F9"/>
          </w:tcPr>
          <w:p>
            <w:pPr>
              <w:spacing w:after="20" w:before="20"/>
            </w:pPr>
            <w:r>
              <w:rPr>
                <w:color w:val="1A2D43"/>
                <w:sz w:val="15"/>
              </w:rPr>
              <w:t>1</w:t>
            </w:r>
          </w:p>
        </w:tc>
        <w:tc>
          <w:tcPr>
            <w:tcW w:type="dxa" w:w="662"/>
            <w:vAlign w:val="center"/>
            <w:tcBorders>
              <w:bottom w:val="single" w:sz="3" w:color="DCE4EB"/>
            </w:tcBorders>
            <w:shd w:fill="F4F7F9"/>
          </w:tcPr>
          <w:p>
            <w:pPr>
              <w:spacing w:after="20" w:before="20"/>
            </w:pPr>
            <w:r>
              <w:rPr>
                <w:color w:val="1A2D43"/>
                <w:sz w:val="15"/>
              </w:rPr>
              <w:t>0</w:t>
            </w:r>
          </w:p>
        </w:tc>
        <w:tc>
          <w:tcPr>
            <w:tcW w:type="dxa" w:w="893"/>
            <w:vAlign w:val="center"/>
            <w:tcBorders>
              <w:bottom w:val="single" w:sz="3" w:color="DCE4EB"/>
            </w:tcBorders>
            <w:shd w:fill="F4F7F9"/>
          </w:tcPr>
          <w:p>
            <w:pPr>
              <w:spacing w:after="20" w:before="20"/>
            </w:pPr>
            <w:r>
              <w:rPr>
                <w:color w:val="1A2D43"/>
                <w:sz w:val="15"/>
              </w:rPr>
              <w:t>0</w:t>
            </w:r>
          </w:p>
        </w:tc>
        <w:tc>
          <w:tcPr>
            <w:tcW w:type="dxa" w:w="4018"/>
            <w:vAlign w:val="center"/>
            <w:tcBorders>
              <w:bottom w:val="single" w:sz="3" w:color="DCE4EB"/>
            </w:tcBorders>
            <w:shd w:fill="F4F7F9"/>
          </w:tcPr>
          <w:p>
            <w:pPr>
              <w:spacing w:after="20" w:before="20"/>
            </w:pPr>
            <w:r>
              <w:rPr>
                <w:color w:val="1A2D43"/>
                <w:sz w:val="15"/>
              </w:rPr>
              <w:t>503 service unavailable PASS</w:t>
            </w:r>
          </w:p>
        </w:tc>
      </w:tr>
      <w:tr>
        <w:trPr>
          <w:cantSplit/>
        </w:trPr>
        <w:tc>
          <w:tcPr>
            <w:tcW w:type="dxa" w:w="3053"/>
            <w:vAlign w:val="center"/>
            <w:tcBorders>
              <w:bottom w:val="single" w:sz="3" w:color="DCE4EB"/>
            </w:tcBorders>
          </w:tcPr>
          <w:p>
            <w:pPr>
              <w:spacing w:after="20" w:before="20"/>
            </w:pPr>
            <w:r>
              <w:rPr>
                <w:color w:val="1A2D43"/>
                <w:sz w:val="15"/>
              </w:rPr>
              <w:t>Reservation mock: negative</w:t>
            </w:r>
          </w:p>
        </w:tc>
        <w:tc>
          <w:tcPr>
            <w:tcW w:type="dxa" w:w="662"/>
            <w:vAlign w:val="center"/>
            <w:tcBorders>
              <w:bottom w:val="single" w:sz="3" w:color="DCE4EB"/>
            </w:tcBorders>
          </w:tcPr>
          <w:p>
            <w:pPr>
              <w:spacing w:after="20" w:before="20"/>
            </w:pPr>
            <w:r>
              <w:rPr>
                <w:color w:val="1A2D43"/>
                <w:sz w:val="15"/>
              </w:rPr>
              <w:t>2</w:t>
            </w:r>
          </w:p>
        </w:tc>
        <w:tc>
          <w:tcPr>
            <w:tcW w:type="dxa" w:w="662"/>
            <w:vAlign w:val="center"/>
            <w:tcBorders>
              <w:bottom w:val="single" w:sz="3" w:color="DCE4EB"/>
            </w:tcBorders>
          </w:tcPr>
          <w:p>
            <w:pPr>
              <w:spacing w:after="20" w:before="20"/>
            </w:pPr>
            <w:r>
              <w:rPr>
                <w:color w:val="1A2D43"/>
                <w:sz w:val="15"/>
              </w:rPr>
              <w:t>0</w:t>
            </w:r>
          </w:p>
        </w:tc>
        <w:tc>
          <w:tcPr>
            <w:tcW w:type="dxa" w:w="893"/>
            <w:vAlign w:val="center"/>
            <w:tcBorders>
              <w:bottom w:val="single" w:sz="3" w:color="DCE4EB"/>
            </w:tcBorders>
          </w:tcPr>
          <w:p>
            <w:pPr>
              <w:spacing w:after="20" w:before="20"/>
            </w:pPr>
            <w:r>
              <w:rPr>
                <w:color w:val="1A2D43"/>
                <w:sz w:val="15"/>
              </w:rPr>
              <w:t>0</w:t>
            </w:r>
          </w:p>
        </w:tc>
        <w:tc>
          <w:tcPr>
            <w:tcW w:type="dxa" w:w="4018"/>
            <w:vAlign w:val="center"/>
            <w:tcBorders>
              <w:bottom w:val="single" w:sz="3" w:color="DCE4EB"/>
            </w:tcBorders>
          </w:tcPr>
          <w:p>
            <w:pPr>
              <w:spacing w:after="20" w:before="20"/>
            </w:pPr>
            <w:r>
              <w:rPr>
                <w:color w:val="1A2D43"/>
                <w:sz w:val="15"/>
              </w:rPr>
              <w:t>422 corrupted snapshot đúng hợp đồng</w:t>
            </w:r>
          </w:p>
        </w:tc>
      </w:tr>
      <w:tr>
        <w:trPr>
          <w:cantSplit/>
        </w:trPr>
        <w:tc>
          <w:tcPr>
            <w:tcW w:type="dxa" w:w="3053"/>
            <w:vAlign w:val="center"/>
            <w:tcBorders>
              <w:bottom w:val="single" w:sz="3" w:color="DCE4EB"/>
            </w:tcBorders>
            <w:shd w:fill="F4F7F9"/>
          </w:tcPr>
          <w:p>
            <w:pPr>
              <w:spacing w:after="20" w:before="20"/>
            </w:pPr>
            <w:r>
              <w:rPr>
                <w:color w:val="1A2D43"/>
                <w:sz w:val="15"/>
              </w:rPr>
              <w:t>Reservation mock: numeric enum</w:t>
            </w:r>
          </w:p>
        </w:tc>
        <w:tc>
          <w:tcPr>
            <w:tcW w:type="dxa" w:w="662"/>
            <w:vAlign w:val="center"/>
            <w:tcBorders>
              <w:bottom w:val="single" w:sz="3" w:color="DCE4EB"/>
            </w:tcBorders>
            <w:shd w:fill="F4F7F9"/>
          </w:tcPr>
          <w:p>
            <w:pPr>
              <w:spacing w:after="20" w:before="20"/>
            </w:pPr>
            <w:r>
              <w:rPr>
                <w:color w:val="1A2D43"/>
                <w:sz w:val="15"/>
              </w:rPr>
              <w:t>1</w:t>
            </w:r>
          </w:p>
        </w:tc>
        <w:tc>
          <w:tcPr>
            <w:tcW w:type="dxa" w:w="662"/>
            <w:vAlign w:val="center"/>
            <w:tcBorders>
              <w:bottom w:val="single" w:sz="3" w:color="DCE4EB"/>
            </w:tcBorders>
            <w:shd w:fill="F4F7F9"/>
          </w:tcPr>
          <w:p>
            <w:pPr>
              <w:spacing w:after="20" w:before="20"/>
            </w:pPr>
            <w:r>
              <w:rPr>
                <w:color w:val="1A2D43"/>
                <w:sz w:val="15"/>
              </w:rPr>
              <w:t>0</w:t>
            </w:r>
          </w:p>
        </w:tc>
        <w:tc>
          <w:tcPr>
            <w:tcW w:type="dxa" w:w="893"/>
            <w:vAlign w:val="center"/>
            <w:tcBorders>
              <w:bottom w:val="single" w:sz="3" w:color="DCE4EB"/>
            </w:tcBorders>
            <w:shd w:fill="F4F7F9"/>
          </w:tcPr>
          <w:p>
            <w:pPr>
              <w:spacing w:after="20" w:before="20"/>
            </w:pPr>
            <w:r>
              <w:rPr>
                <w:color w:val="1A2D43"/>
                <w:sz w:val="15"/>
              </w:rPr>
              <w:t>0</w:t>
            </w:r>
          </w:p>
        </w:tc>
        <w:tc>
          <w:tcPr>
            <w:tcW w:type="dxa" w:w="4018"/>
            <w:vAlign w:val="center"/>
            <w:tcBorders>
              <w:bottom w:val="single" w:sz="3" w:color="DCE4EB"/>
            </w:tcBorders>
            <w:shd w:fill="F4F7F9"/>
          </w:tcPr>
          <w:p>
            <w:pPr>
              <w:spacing w:after="20" w:before="20"/>
            </w:pPr>
            <w:r>
              <w:rPr>
                <w:color w:val="1A2D43"/>
                <w:sz w:val="15"/>
              </w:rPr>
              <w:t>200, 5.000 VNĐ, version 4</w:t>
            </w:r>
          </w:p>
        </w:tc>
      </w:tr>
      <w:tr>
        <w:trPr>
          <w:cantSplit/>
        </w:trPr>
        <w:tc>
          <w:tcPr>
            <w:tcW w:type="dxa" w:w="3053"/>
            <w:vAlign w:val="center"/>
            <w:tcBorders>
              <w:bottom w:val="single" w:sz="3" w:color="DCE4EB"/>
            </w:tcBorders>
          </w:tcPr>
          <w:p>
            <w:pPr>
              <w:spacing w:after="20" w:before="20"/>
            </w:pPr>
            <w:r>
              <w:rPr>
                <w:color w:val="1A2D43"/>
                <w:sz w:val="15"/>
              </w:rPr>
              <w:t>Reservation mock: string enum</w:t>
            </w:r>
          </w:p>
        </w:tc>
        <w:tc>
          <w:tcPr>
            <w:tcW w:type="dxa" w:w="662"/>
            <w:vAlign w:val="center"/>
            <w:tcBorders>
              <w:bottom w:val="single" w:sz="3" w:color="DCE4EB"/>
            </w:tcBorders>
          </w:tcPr>
          <w:p>
            <w:pPr>
              <w:spacing w:after="20" w:before="20"/>
            </w:pPr>
            <w:r>
              <w:rPr>
                <w:color w:val="1A2D43"/>
                <w:sz w:val="15"/>
              </w:rPr>
              <w:t>0</w:t>
            </w:r>
          </w:p>
        </w:tc>
        <w:tc>
          <w:tcPr>
            <w:tcW w:type="dxa" w:w="662"/>
            <w:vAlign w:val="center"/>
            <w:tcBorders>
              <w:bottom w:val="single" w:sz="3" w:color="DCE4EB"/>
            </w:tcBorders>
          </w:tcPr>
          <w:p>
            <w:pPr>
              <w:spacing w:after="20" w:before="20"/>
            </w:pPr>
            <w:r>
              <w:rPr>
                <w:color w:val="1A2D43"/>
                <w:sz w:val="15"/>
              </w:rPr>
              <w:t>1</w:t>
            </w:r>
          </w:p>
        </w:tc>
        <w:tc>
          <w:tcPr>
            <w:tcW w:type="dxa" w:w="893"/>
            <w:vAlign w:val="center"/>
            <w:tcBorders>
              <w:bottom w:val="single" w:sz="3" w:color="DCE4EB"/>
            </w:tcBorders>
          </w:tcPr>
          <w:p>
            <w:pPr>
              <w:spacing w:after="20" w:before="20"/>
            </w:pPr>
            <w:r>
              <w:rPr>
                <w:color w:val="1A2D43"/>
                <w:sz w:val="15"/>
              </w:rPr>
              <w:t>0</w:t>
            </w:r>
          </w:p>
        </w:tc>
        <w:tc>
          <w:tcPr>
            <w:tcW w:type="dxa" w:w="4018"/>
            <w:vAlign w:val="center"/>
            <w:tcBorders>
              <w:bottom w:val="single" w:sz="3" w:color="DCE4EB"/>
            </w:tcBorders>
          </w:tcPr>
          <w:p>
            <w:pPr>
              <w:spacing w:after="20" w:before="20"/>
            </w:pPr>
            <w:r>
              <w:rPr>
                <w:color w:val="1A2D43"/>
                <w:sz w:val="15"/>
              </w:rPr>
              <w:t>422 (expected 200)</w:t>
            </w:r>
          </w:p>
        </w:tc>
      </w:tr>
      <w:tr>
        <w:trPr>
          <w:cantSplit/>
        </w:trPr>
        <w:tc>
          <w:tcPr>
            <w:tcW w:type="dxa" w:w="3053"/>
            <w:vAlign w:val="center"/>
            <w:tcBorders>
              <w:bottom w:val="single" w:sz="3" w:color="DCE4EB"/>
            </w:tcBorders>
            <w:shd w:fill="F4F7F9"/>
          </w:tcPr>
          <w:p>
            <w:pPr>
              <w:spacing w:after="20" w:before="20"/>
            </w:pPr>
            <w:r>
              <w:rPr>
                <w:color w:val="1A2D43"/>
                <w:sz w:val="15"/>
              </w:rPr>
              <w:t>Real Reservation E2E</w:t>
            </w:r>
          </w:p>
        </w:tc>
        <w:tc>
          <w:tcPr>
            <w:tcW w:type="dxa" w:w="662"/>
            <w:vAlign w:val="center"/>
            <w:tcBorders>
              <w:bottom w:val="single" w:sz="3" w:color="DCE4EB"/>
            </w:tcBorders>
            <w:shd w:fill="F4F7F9"/>
          </w:tcPr>
          <w:p>
            <w:pPr>
              <w:spacing w:after="20" w:before="20"/>
            </w:pPr>
            <w:r>
              <w:rPr>
                <w:color w:val="1A2D43"/>
                <w:sz w:val="15"/>
              </w:rPr>
              <w:t>0</w:t>
            </w:r>
          </w:p>
        </w:tc>
        <w:tc>
          <w:tcPr>
            <w:tcW w:type="dxa" w:w="662"/>
            <w:vAlign w:val="center"/>
            <w:tcBorders>
              <w:bottom w:val="single" w:sz="3" w:color="DCE4EB"/>
            </w:tcBorders>
            <w:shd w:fill="F4F7F9"/>
          </w:tcPr>
          <w:p>
            <w:pPr>
              <w:spacing w:after="20" w:before="20"/>
            </w:pPr>
            <w:r>
              <w:rPr>
                <w:color w:val="1A2D43"/>
                <w:sz w:val="15"/>
              </w:rPr>
              <w:t>0</w:t>
            </w:r>
          </w:p>
        </w:tc>
        <w:tc>
          <w:tcPr>
            <w:tcW w:type="dxa" w:w="893"/>
            <w:vAlign w:val="center"/>
            <w:tcBorders>
              <w:bottom w:val="single" w:sz="3" w:color="DCE4EB"/>
            </w:tcBorders>
            <w:shd w:fill="F4F7F9"/>
          </w:tcPr>
          <w:p>
            <w:pPr>
              <w:spacing w:after="20" w:before="20"/>
            </w:pPr>
            <w:r>
              <w:rPr>
                <w:color w:val="1A2D43"/>
                <w:sz w:val="15"/>
              </w:rPr>
              <w:t>2</w:t>
            </w:r>
          </w:p>
        </w:tc>
        <w:tc>
          <w:tcPr>
            <w:tcW w:type="dxa" w:w="4018"/>
            <w:vAlign w:val="center"/>
            <w:tcBorders>
              <w:bottom w:val="single" w:sz="3" w:color="DCE4EB"/>
            </w:tcBorders>
            <w:shd w:fill="F4F7F9"/>
          </w:tcPr>
          <w:p>
            <w:pPr>
              <w:spacing w:after="20" w:before="20"/>
            </w:pPr>
            <w:r>
              <w:rPr>
                <w:color w:val="1A2D43"/>
                <w:sz w:val="15"/>
              </w:rPr>
              <w:t>Chưa có nguồn accepted snapshot thực</w:t>
            </w:r>
          </w:p>
        </w:tc>
      </w:tr>
    </w:tbl>
    <w:p>
      <w:pPr>
        <w:spacing w:after="0"/>
      </w:pPr>
    </w:p>
    <w:p>
      <w:r>
        <w:t>QA case độc lập: 18 PASS, 1 FAIL, 2 E2E NOT RUN. Báo cáo gốc có tổng “61 executed” vì gồm 42 Unit Tests + 19 QA cases; trong mẫu mới, Unit Tests không được cộng vào QA PASS.</w:t>
      </w:r>
    </w:p>
    <w:p>
      <w:pPr>
        <w:pStyle w:val="Heading1"/>
      </w:pPr>
      <w:r>
        <w:t>3. Unit Test – số liệu riêng</w:t>
      </w:r>
    </w:p>
    <w:tbl>
      <w:tblPr>
        <w:tblStyle w:val="TableGrid"/>
        <w:tblW w:type="auto" w:w="0"/>
        <w:jc w:val="center"/>
        <w:tblLayout w:type="fixed"/>
        <w:tblLook w:firstColumn="1" w:firstRow="1" w:lastColumn="0" w:lastRow="0" w:noHBand="0" w:noVBand="1" w:val="04A0"/>
      </w:tblPr>
      <w:tblGrid>
        <w:gridCol w:w="2880"/>
        <w:gridCol w:w="965"/>
        <w:gridCol w:w="936"/>
        <w:gridCol w:w="936"/>
        <w:gridCol w:w="3715"/>
      </w:tblGrid>
      <w:tr>
        <w:tc>
          <w:tcPr>
            <w:tcW w:type="dxa" w:w="2880"/>
            <w:shd w:fill="17364F"/>
            <w:tcBorders>
              <w:bottom w:val="single" w:sz="3" w:color="DCE4EB"/>
            </w:tcBorders>
            <w:vAlign w:val="center"/>
          </w:tcPr>
          <w:p>
            <w:pPr>
              <w:spacing w:after="20" w:before="20"/>
            </w:pPr>
            <w:r>
              <w:rPr>
                <w:b/>
                <w:color w:val="FFFFFF"/>
                <w:sz w:val="15"/>
              </w:rPr>
              <w:t>Suite</w:t>
            </w:r>
          </w:p>
        </w:tc>
        <w:tc>
          <w:tcPr>
            <w:tcW w:type="dxa" w:w="965"/>
            <w:shd w:fill="17364F"/>
            <w:tcBorders>
              <w:bottom w:val="single" w:sz="3" w:color="DCE4EB"/>
            </w:tcBorders>
            <w:vAlign w:val="center"/>
          </w:tcPr>
          <w:p>
            <w:pPr>
              <w:spacing w:after="20" w:before="20"/>
            </w:pPr>
            <w:r>
              <w:rPr>
                <w:b/>
                <w:color w:val="FFFFFF"/>
                <w:sz w:val="15"/>
              </w:rPr>
              <w:t>Passed</w:t>
            </w:r>
          </w:p>
        </w:tc>
        <w:tc>
          <w:tcPr>
            <w:tcW w:type="dxa" w:w="936"/>
            <w:shd w:fill="17364F"/>
            <w:tcBorders>
              <w:bottom w:val="single" w:sz="3" w:color="DCE4EB"/>
            </w:tcBorders>
            <w:vAlign w:val="center"/>
          </w:tcPr>
          <w:p>
            <w:pPr>
              <w:spacing w:after="20" w:before="20"/>
            </w:pPr>
            <w:r>
              <w:rPr>
                <w:b/>
                <w:color w:val="FFFFFF"/>
                <w:sz w:val="15"/>
              </w:rPr>
              <w:t>Failed</w:t>
            </w:r>
          </w:p>
        </w:tc>
        <w:tc>
          <w:tcPr>
            <w:tcW w:type="dxa" w:w="936"/>
            <w:shd w:fill="17364F"/>
            <w:tcBorders>
              <w:bottom w:val="single" w:sz="3" w:color="DCE4EB"/>
            </w:tcBorders>
            <w:vAlign w:val="center"/>
          </w:tcPr>
          <w:p>
            <w:pPr>
              <w:spacing w:after="20" w:before="20"/>
            </w:pPr>
            <w:r>
              <w:rPr>
                <w:b/>
                <w:color w:val="FFFFFF"/>
                <w:sz w:val="15"/>
              </w:rPr>
              <w:t>Skipped</w:t>
            </w:r>
          </w:p>
        </w:tc>
        <w:tc>
          <w:tcPr>
            <w:tcW w:type="dxa" w:w="3715"/>
            <w:shd w:fill="17364F"/>
            <w:tcBorders>
              <w:bottom w:val="single" w:sz="3" w:color="DCE4EB"/>
            </w:tcBorders>
            <w:vAlign w:val="center"/>
          </w:tcPr>
          <w:p>
            <w:pPr>
              <w:spacing w:after="20" w:before="20"/>
            </w:pPr>
            <w:r>
              <w:rPr>
                <w:b/>
                <w:color w:val="FFFFFF"/>
                <w:sz w:val="15"/>
              </w:rPr>
              <w:t>Baseline</w:t>
            </w:r>
          </w:p>
        </w:tc>
      </w:tr>
      <w:tr>
        <w:trPr>
          <w:cantSplit/>
        </w:trPr>
        <w:tc>
          <w:tcPr>
            <w:tcW w:type="dxa" w:w="2880"/>
            <w:vAlign w:val="center"/>
            <w:tcBorders>
              <w:bottom w:val="single" w:sz="3" w:color="DCE4EB"/>
            </w:tcBorders>
            <w:shd w:fill="F4F7F9"/>
          </w:tcPr>
          <w:p>
            <w:pPr>
              <w:spacing w:after="20" w:before="20"/>
            </w:pPr>
            <w:r>
              <w:rPr>
                <w:color w:val="1A2D43"/>
                <w:sz w:val="15"/>
              </w:rPr>
              <w:t>PaymentService xUnit</w:t>
            </w:r>
          </w:p>
        </w:tc>
        <w:tc>
          <w:tcPr>
            <w:tcW w:type="dxa" w:w="965"/>
            <w:vAlign w:val="center"/>
            <w:tcBorders>
              <w:bottom w:val="single" w:sz="3" w:color="DCE4EB"/>
            </w:tcBorders>
            <w:shd w:fill="F4F7F9"/>
          </w:tcPr>
          <w:p>
            <w:pPr>
              <w:spacing w:after="20" w:before="20"/>
            </w:pPr>
            <w:r>
              <w:rPr>
                <w:color w:val="1A2D43"/>
                <w:sz w:val="15"/>
              </w:rPr>
              <w:t>42</w:t>
            </w:r>
          </w:p>
        </w:tc>
        <w:tc>
          <w:tcPr>
            <w:tcW w:type="dxa" w:w="936"/>
            <w:vAlign w:val="center"/>
            <w:tcBorders>
              <w:bottom w:val="single" w:sz="3" w:color="DCE4EB"/>
            </w:tcBorders>
            <w:shd w:fill="F4F7F9"/>
          </w:tcPr>
          <w:p>
            <w:pPr>
              <w:spacing w:after="20" w:before="20"/>
            </w:pPr>
            <w:r>
              <w:rPr>
                <w:color w:val="1A2D43"/>
                <w:sz w:val="15"/>
              </w:rPr>
              <w:t>0</w:t>
            </w:r>
          </w:p>
        </w:tc>
        <w:tc>
          <w:tcPr>
            <w:tcW w:type="dxa" w:w="936"/>
            <w:vAlign w:val="center"/>
            <w:tcBorders>
              <w:bottom w:val="single" w:sz="3" w:color="DCE4EB"/>
            </w:tcBorders>
            <w:shd w:fill="F4F7F9"/>
          </w:tcPr>
          <w:p>
            <w:pPr>
              <w:spacing w:after="20" w:before="20"/>
            </w:pPr>
            <w:r>
              <w:rPr>
                <w:color w:val="1A2D43"/>
                <w:sz w:val="15"/>
              </w:rPr>
              <w:t>0</w:t>
            </w:r>
          </w:p>
        </w:tc>
        <w:tc>
          <w:tcPr>
            <w:tcW w:type="dxa" w:w="3715"/>
            <w:vAlign w:val="center"/>
            <w:tcBorders>
              <w:bottom w:val="single" w:sz="3" w:color="DCE4EB"/>
            </w:tcBorders>
            <w:shd w:fill="F4F7F9"/>
          </w:tcPr>
          <w:p>
            <w:pPr>
              <w:spacing w:after="20" w:before="20"/>
            </w:pPr>
            <w:r>
              <w:rPr>
                <w:color w:val="1A2D43"/>
                <w:sz w:val="15"/>
              </w:rPr>
              <w:t>fe13d7ce · Test Run Successful</w:t>
            </w:r>
          </w:p>
        </w:tc>
      </w:tr>
    </w:tbl>
    <w:p>
      <w:pPr>
        <w:spacing w:after="0"/>
      </w:pPr>
    </w:p>
    <w:p>
      <w:pPr>
        <w:pStyle w:val="Heading1"/>
      </w:pPr>
      <w:r>
        <w:t>4. Lỗi chính – QA-PR7-001 / SPARK-311</w:t>
      </w:r>
    </w:p>
    <w:tbl>
      <w:tblPr>
        <w:tblStyle w:val="TableGrid"/>
        <w:tblW w:type="auto" w:w="0"/>
        <w:jc w:val="center"/>
        <w:tblLayout w:type="fixed"/>
        <w:tblLook w:firstColumn="1" w:firstRow="1" w:lastColumn="0" w:lastRow="0" w:noHBand="0" w:noVBand="1" w:val="04A0"/>
      </w:tblPr>
      <w:tblGrid>
        <w:gridCol w:w="3082"/>
        <w:gridCol w:w="2765"/>
        <w:gridCol w:w="3586"/>
      </w:tblGrid>
      <w:tr>
        <w:tc>
          <w:tcPr>
            <w:tcW w:type="dxa" w:w="3082"/>
            <w:shd w:fill="17364F"/>
            <w:tcBorders>
              <w:bottom w:val="single" w:sz="3" w:color="DCE4EB"/>
            </w:tcBorders>
            <w:vAlign w:val="center"/>
          </w:tcPr>
          <w:p>
            <w:pPr>
              <w:spacing w:after="20" w:before="20"/>
            </w:pPr>
            <w:r>
              <w:rPr>
                <w:b/>
                <w:color w:val="FFFFFF"/>
                <w:sz w:val="15"/>
              </w:rPr>
              <w:t>Điều kiện</w:t>
            </w:r>
          </w:p>
        </w:tc>
        <w:tc>
          <w:tcPr>
            <w:tcW w:type="dxa" w:w="2765"/>
            <w:shd w:fill="17364F"/>
            <w:tcBorders>
              <w:bottom w:val="single" w:sz="3" w:color="DCE4EB"/>
            </w:tcBorders>
            <w:vAlign w:val="center"/>
          </w:tcPr>
          <w:p>
            <w:pPr>
              <w:spacing w:after="20" w:before="20"/>
            </w:pPr>
            <w:r>
              <w:rPr>
                <w:b/>
                <w:color w:val="FFFFFF"/>
                <w:sz w:val="15"/>
              </w:rPr>
              <w:t>Expected</w:t>
            </w:r>
          </w:p>
        </w:tc>
        <w:tc>
          <w:tcPr>
            <w:tcW w:type="dxa" w:w="3586"/>
            <w:shd w:fill="17364F"/>
            <w:tcBorders>
              <w:bottom w:val="single" w:sz="3" w:color="DCE4EB"/>
            </w:tcBorders>
            <w:vAlign w:val="center"/>
          </w:tcPr>
          <w:p>
            <w:pPr>
              <w:spacing w:after="20" w:before="20"/>
            </w:pPr>
            <w:r>
              <w:rPr>
                <w:b/>
                <w:color w:val="FFFFFF"/>
                <w:sz w:val="15"/>
              </w:rPr>
              <w:t>Actual</w:t>
            </w:r>
          </w:p>
        </w:tc>
      </w:tr>
      <w:tr>
        <w:trPr>
          <w:cantSplit/>
        </w:trPr>
        <w:tc>
          <w:tcPr>
            <w:tcW w:type="dxa" w:w="3082"/>
            <w:vAlign w:val="center"/>
            <w:tcBorders>
              <w:bottom w:val="single" w:sz="3" w:color="DCE4EB"/>
            </w:tcBorders>
            <w:shd w:fill="F4F7F9"/>
          </w:tcPr>
          <w:p>
            <w:pPr>
              <w:spacing w:after="20" w:before="20"/>
            </w:pPr>
            <w:r>
              <w:rPr>
                <w:color w:val="1A2D43"/>
                <w:sz w:val="15"/>
              </w:rPr>
              <w:t>Snapshot JSON: vehicleType="CAR", roundingMode="HALF_UP_THOUSAND"</w:t>
            </w:r>
          </w:p>
        </w:tc>
        <w:tc>
          <w:tcPr>
            <w:tcW w:type="dxa" w:w="2765"/>
            <w:vAlign w:val="center"/>
            <w:tcBorders>
              <w:bottom w:val="single" w:sz="3" w:color="DCE4EB"/>
            </w:tcBorders>
            <w:shd w:fill="F4F7F9"/>
          </w:tcPr>
          <w:p>
            <w:pPr>
              <w:spacing w:after="20" w:before="20"/>
            </w:pPr>
            <w:r>
              <w:rPr>
                <w:color w:val="1A2D43"/>
                <w:sz w:val="15"/>
              </w:rPr>
              <w:t>HTTP 200; amount 5.000 VNĐ; version 4</w:t>
            </w:r>
          </w:p>
        </w:tc>
        <w:tc>
          <w:tcPr>
            <w:tcW w:type="dxa" w:w="3586"/>
            <w:vAlign w:val="center"/>
            <w:tcBorders>
              <w:bottom w:val="single" w:sz="3" w:color="DCE4EB"/>
            </w:tcBorders>
            <w:shd w:fill="F4F7F9"/>
          </w:tcPr>
          <w:p>
            <w:pPr>
              <w:spacing w:after="20" w:before="20"/>
            </w:pPr>
            <w:r>
              <w:rPr>
                <w:color w:val="1A2D43"/>
                <w:sz w:val="15"/>
              </w:rPr>
              <w:t>HTTP 422 / CORRUPTED_POLICY_SNAPSHOT</w:t>
            </w:r>
          </w:p>
        </w:tc>
      </w:tr>
      <w:tr>
        <w:trPr>
          <w:cantSplit/>
        </w:trPr>
        <w:tc>
          <w:tcPr>
            <w:tcW w:type="dxa" w:w="3082"/>
            <w:vAlign w:val="center"/>
            <w:tcBorders>
              <w:bottom w:val="single" w:sz="3" w:color="DCE4EB"/>
            </w:tcBorders>
          </w:tcPr>
          <w:p>
            <w:pPr>
              <w:spacing w:after="20" w:before="20"/>
            </w:pPr>
            <w:r>
              <w:rPr>
                <w:color w:val="1A2D43"/>
                <w:sz w:val="15"/>
              </w:rPr>
              <w:t>Control chỉ đổi enum sang numeric 0,2</w:t>
            </w:r>
          </w:p>
        </w:tc>
        <w:tc>
          <w:tcPr>
            <w:tcW w:type="dxa" w:w="2765"/>
            <w:vAlign w:val="center"/>
            <w:tcBorders>
              <w:bottom w:val="single" w:sz="3" w:color="DCE4EB"/>
            </w:tcBorders>
          </w:tcPr>
          <w:p>
            <w:pPr>
              <w:spacing w:after="20" w:before="20"/>
            </w:pPr>
            <w:r>
              <w:rPr>
                <w:color w:val="1A2D43"/>
                <w:sz w:val="15"/>
              </w:rPr>
              <w:t>HTTP 200; amount 5.000 VNĐ</w:t>
            </w:r>
          </w:p>
        </w:tc>
        <w:tc>
          <w:tcPr>
            <w:tcW w:type="dxa" w:w="3586"/>
            <w:vAlign w:val="center"/>
            <w:tcBorders>
              <w:bottom w:val="single" w:sz="3" w:color="DCE4EB"/>
            </w:tcBorders>
          </w:tcPr>
          <w:p>
            <w:pPr>
              <w:spacing w:after="20" w:before="20"/>
            </w:pPr>
            <w:r>
              <w:rPr>
                <w:color w:val="1A2D43"/>
                <w:sz w:val="15"/>
              </w:rPr>
              <w:t>HTTP 200; amount 5.000 VNĐ; version 4</w:t>
            </w:r>
          </w:p>
        </w:tc>
      </w:tr>
    </w:tbl>
    <w:p>
      <w:pPr>
        <w:spacing w:after="0"/>
      </w:pPr>
    </w:p>
    <w:p>
      <w:r>
        <w:t>Lý do nghi vấn có cơ sở trong báo cáo gốc: ReservationSnapshotHttpAdapter gọi ReadFromJsonAsync&lt;PricingPolicySnapshot&gt;() không truyền JsonStringEnumConverter. Cấu hình converter trong MVC hoặc PricingSnapshotExtensions dùng cho serializer khác không tự áp dụng cho HttpClient outbound. Cần Developer xác nhận bản sửa và unit tests mới; không coi Jira In Progress là fix PASS.</w:t>
      </w:r>
    </w:p>
    <w:p>
      <w:pPr>
        <w:pStyle w:val="Heading1"/>
      </w:pPr>
      <w:r>
        <w:t>5. Schema/contract, giới hạn và rủi ro</w:t>
      </w:r>
    </w:p>
    <w:p>
      <w:pPr>
        <w:pStyle w:val="ListBullet"/>
        <w:spacing w:after="40"/>
      </w:pPr>
      <w:r>
        <w:t>SPARK-297: yêu cầu pricing theo PaymentDb v1.1, Application orchestration, ILogger&lt;T&gt; và integration bằng dữ liệu tariff/revision thực; trạng thái Jira đang Review, chưa có QA sign-off.</w:t>
      </w:r>
    </w:p>
    <w:p>
      <w:pPr>
        <w:pStyle w:val="ListBullet"/>
        <w:spacing w:after="40"/>
      </w:pPr>
      <w:r>
        <w:t>Fault test 504 timeout ban đầu dùng expected 503 không đúng nhánh code; chỉ là quan sát chẩn đoán, không tính FAIL sản phẩm hoặc test PASS.</w:t>
      </w:r>
    </w:p>
    <w:p>
      <w:pPr>
        <w:pStyle w:val="ListBullet"/>
        <w:spacing w:after="40"/>
      </w:pPr>
      <w:r>
        <w:t>Keyword search không tìm thấy pricing-snapshot route ở source ReservationService trước đó không chứng minh endpoint chắc chắn không tồn tại; real booking → accepted snapshot chưa E2E.</w:t>
      </w:r>
    </w:p>
    <w:p>
      <w:pPr>
        <w:pStyle w:val="Heading1"/>
      </w:pPr>
      <w:r>
        <w:t>6. Truy vết vào master và bằng chứng</w:t>
      </w:r>
    </w:p>
    <w:p>
      <w:pPr>
        <w:pStyle w:val="ListBullet"/>
        <w:spacing w:after="40"/>
      </w:pPr>
      <w:r>
        <w:t>Excel master: SmartParking_Payment_Master_TestCases.xlsx → PR7_Pricing_QA, Migration_Audit.</w:t>
      </w:r>
    </w:p>
    <w:p>
      <w:pPr>
        <w:pStyle w:val="ListBullet"/>
        <w:spacing w:after="40"/>
      </w:pPr>
      <w:r>
        <w:t>Nguồn: PR7_QA_Report.docx + PR7_QA_Test_Report.xlsx; log từ Tester, không có response phía ReservationService thực.</w:t>
      </w:r>
    </w:p>
    <w:p>
      <w:pPr>
        <w:pStyle w:val="ListBullet"/>
        <w:spacing w:after="40"/>
      </w:pPr>
      <w:r>
        <w:t>EV-UNIT: 42 xUnit PASS; EV-HTTP: HTTP-01..10; EV-DB: DB-HTTP-01..04; EV-MOCK: RES-HTTP-03 FAIL và numeric control PASS.</w:t>
      </w:r>
    </w:p>
    <w:p>
      <w:pPr>
        <w:pStyle w:val="Heading1"/>
      </w:pPr>
      <w:r>
        <w:t>7. Retest khi có fix SHA</w:t>
      </w:r>
    </w:p>
    <w:p>
      <w:pPr>
        <w:pStyle w:val="ListBullet"/>
        <w:spacing w:after="40"/>
      </w:pPr>
      <w:r>
        <w:t>Chỉ retest SPARK-311 khi adapter/dto/contract đã có diff: string enum, numeric enum, invalid enum, 404, unavailable/timeout và pricing regression liên quan.</w:t>
      </w:r>
    </w:p>
    <w:p>
      <w:pPr>
        <w:pStyle w:val="ListBullet"/>
        <w:spacing w:after="40"/>
      </w:pPr>
      <w:r>
        <w:t>Đối chiếu SPARK-297 bằng PaymentDb schema v1.1, tariff version và một luồng calculation tích hợp hợp lệ; không tự dựng thành công trên E2E thật.</w:t>
      </w:r>
    </w:p>
    <w:p>
      <w:pPr>
        <w:pStyle w:val="ListBullet"/>
        <w:spacing w:after="40"/>
      </w:pPr>
      <w:r>
        <w:t>Giữ FAIL lịch sử trên fe13d7ce, thêm dòng retest mới có SHA/expected/actual vào Payment master khi thực sự chạy.</w:t>
      </w:r>
    </w:p>
    <w:p>
      <w:pPr>
        <w:pStyle w:val="Heading1"/>
      </w:pPr>
      <w:r>
        <w:t>8. Quyết định QA / bàn giao</w:t>
      </w:r>
    </w:p>
    <w:p>
      <w:r>
        <w:t>QA HOLD – FIX REQUIRED / RETEST PENDING. Không khẳng định PR7 đã hết lỗi hoặc SPARK-229 được nghiệm thu. Task SPARK-314 là Jira Testing, SPARK-229 là Jira Developer.</w:t>
      </w:r>
    </w:p>
    <w:p>
      <w:pPr>
        <w:pStyle w:val="Heading1"/>
      </w:pPr>
      <w:r>
        <w:t>9. Tài liệu tham chiếu và nguồn bằng chứng</w:t>
      </w:r>
    </w:p>
    <w:p>
      <w:pPr>
        <w:pStyle w:val="ListBullet"/>
        <w:spacing w:after="40"/>
      </w:pPr>
      <w:r>
        <w:t>Testing: https://mangamanagement.atlassian.net/browse/SPARK-314</w:t>
      </w:r>
    </w:p>
    <w:p>
      <w:pPr>
        <w:pStyle w:val="ListBullet"/>
        <w:spacing w:after="40"/>
      </w:pPr>
      <w:r>
        <w:t>Bug: https://mangamanagement.atlassian.net/browse/SPARK-311 · Architecture: https://mangamanagement.atlassian.net/browse/SPARK-297</w:t>
      </w:r>
    </w:p>
    <w:p>
      <w:pPr>
        <w:pStyle w:val="ListBullet"/>
        <w:spacing w:after="40"/>
      </w:pPr>
      <w:r>
        <w:t>Developer PR: https://github.com/Quangthm/Mock-Project-Smart-Parking/pull/7</w:t>
      </w:r>
    </w:p>
    <w:p>
      <w:pPr>
        <w:pStyle w:val="ListBullet"/>
        <w:spacing w:after="40"/>
      </w:pPr>
      <w:r>
        <w:t>Nguồn: SmartParking_QA_Historical_Reports_Source_2026-10-28.zip (PR7_QA_Report.docx, PR7_QA_Test_Report.xlsx).</w:t>
      </w:r>
    </w:p>
    <w:p>
      <w:r>
        <w:t>Bản Word này chuẩn hóa từ bằng chứng lịch sử, không phải biên bản tái kiểm thử ngày 28/10/2026. Cần đối chiếu kết quả trong Excel master và các log gốc trước khi Leader nghiệm thu.</w:t>
      </w:r>
    </w:p>
    <w:p>
      <w:pPr>
        <w:pStyle w:val="Heading1"/>
      </w:pPr>
      <w:r>
        <w:t>10. Xác nhận và lịch sử báo cáo</w:t>
      </w:r>
    </w:p>
    <w:tbl>
      <w:tblPr>
        <w:tblStyle w:val="TableGrid"/>
        <w:tblW w:type="auto" w:w="0"/>
        <w:jc w:val="center"/>
        <w:tblLayout w:type="fixed"/>
        <w:tblLook w:firstColumn="1" w:firstRow="1" w:lastColumn="0" w:lastRow="0" w:noHBand="0" w:noVBand="1" w:val="04A0"/>
      </w:tblPr>
      <w:tblGrid>
        <w:gridCol w:w="3096"/>
        <w:gridCol w:w="6336"/>
      </w:tblGrid>
      <w:tr>
        <w:tc>
          <w:tcPr>
            <w:tcW w:type="dxa" w:w="3096"/>
            <w:shd w:fill="17364F"/>
            <w:tcBorders>
              <w:bottom w:val="single" w:sz="3" w:color="DCE4EB"/>
            </w:tcBorders>
            <w:vAlign w:val="center"/>
          </w:tcPr>
          <w:p>
            <w:pPr>
              <w:spacing w:after="20" w:before="20"/>
            </w:pPr>
            <w:r>
              <w:rPr>
                <w:b/>
                <w:color w:val="FFFFFF"/>
                <w:sz w:val="15"/>
              </w:rPr>
              <w:t>Vai trò</w:t>
            </w:r>
          </w:p>
        </w:tc>
        <w:tc>
          <w:tcPr>
            <w:tcW w:type="dxa" w:w="6336"/>
            <w:shd w:fill="17364F"/>
            <w:tcBorders>
              <w:bottom w:val="single" w:sz="3" w:color="DCE4EB"/>
            </w:tcBorders>
            <w:vAlign w:val="center"/>
          </w:tcPr>
          <w:p>
            <w:pPr>
              <w:spacing w:after="20" w:before="20"/>
            </w:pPr>
            <w:r>
              <w:rPr>
                <w:b/>
                <w:color w:val="FFFFFF"/>
                <w:sz w:val="15"/>
              </w:rPr>
              <w:t>Tình trạng</w:t>
            </w:r>
          </w:p>
        </w:tc>
      </w:tr>
      <w:tr>
        <w:trPr>
          <w:cantSplit/>
        </w:trPr>
        <w:tc>
          <w:tcPr>
            <w:tcW w:type="dxa" w:w="3096"/>
            <w:vAlign w:val="center"/>
            <w:tcBorders>
              <w:bottom w:val="single" w:sz="3" w:color="DCE4EB"/>
            </w:tcBorders>
            <w:shd w:fill="F4F7F9"/>
          </w:tcPr>
          <w:p>
            <w:pPr>
              <w:spacing w:after="20" w:before="20"/>
            </w:pPr>
            <w:r>
              <w:rPr>
                <w:color w:val="1A2D43"/>
                <w:sz w:val="15"/>
              </w:rPr>
              <w:t>Tester</w:t>
            </w:r>
          </w:p>
        </w:tc>
        <w:tc>
          <w:tcPr>
            <w:tcW w:type="dxa" w:w="6336"/>
            <w:vAlign w:val="center"/>
            <w:tcBorders>
              <w:bottom w:val="single" w:sz="3" w:color="DCE4EB"/>
            </w:tcBorders>
            <w:shd w:fill="F4F7F9"/>
          </w:tcPr>
          <w:p>
            <w:pPr>
              <w:spacing w:after="20" w:before="20"/>
            </w:pPr>
            <w:r>
              <w:rPr>
                <w:color w:val="1A2D43"/>
                <w:sz w:val="15"/>
              </w:rPr>
              <w:t>Biên soạn từ báo cáo gốc; chưa chạy lại test</w:t>
            </w:r>
          </w:p>
        </w:tc>
      </w:tr>
      <w:tr>
        <w:trPr>
          <w:cantSplit/>
        </w:trPr>
        <w:tc>
          <w:tcPr>
            <w:tcW w:type="dxa" w:w="3096"/>
            <w:vAlign w:val="center"/>
            <w:tcBorders>
              <w:bottom w:val="single" w:sz="3" w:color="DCE4EB"/>
            </w:tcBorders>
          </w:tcPr>
          <w:p>
            <w:pPr>
              <w:spacing w:after="20" w:before="20"/>
            </w:pPr>
            <w:r>
              <w:rPr>
                <w:color w:val="1A2D43"/>
                <w:sz w:val="15"/>
              </w:rPr>
              <w:t>Leader / Reviewer</w:t>
            </w:r>
          </w:p>
        </w:tc>
        <w:tc>
          <w:tcPr>
            <w:tcW w:type="dxa" w:w="6336"/>
            <w:vAlign w:val="center"/>
            <w:tcBorders>
              <w:bottom w:val="single" w:sz="3" w:color="DCE4EB"/>
            </w:tcBorders>
          </w:tcPr>
          <w:p>
            <w:pPr>
              <w:spacing w:after="20" w:before="20"/>
            </w:pPr>
            <w:r>
              <w:rPr>
                <w:color w:val="1A2D43"/>
                <w:sz w:val="15"/>
              </w:rPr>
              <w:t>CHƯA REVIEW / CHƯA KÝ DUYỆT</w:t>
            </w:r>
          </w:p>
        </w:tc>
      </w:tr>
      <w:tr>
        <w:trPr>
          <w:cantSplit/>
        </w:trPr>
        <w:tc>
          <w:tcPr>
            <w:tcW w:type="dxa" w:w="3096"/>
            <w:vAlign w:val="center"/>
            <w:tcBorders>
              <w:bottom w:val="single" w:sz="3" w:color="DCE4EB"/>
            </w:tcBorders>
            <w:shd w:fill="F4F7F9"/>
          </w:tcPr>
          <w:p>
            <w:pPr>
              <w:spacing w:after="20" w:before="20"/>
            </w:pPr>
            <w:r>
              <w:rPr>
                <w:color w:val="1A2D43"/>
                <w:sz w:val="15"/>
              </w:rPr>
              <w:t>Developer</w:t>
            </w:r>
          </w:p>
        </w:tc>
        <w:tc>
          <w:tcPr>
            <w:tcW w:type="dxa" w:w="6336"/>
            <w:vAlign w:val="center"/>
            <w:tcBorders>
              <w:bottom w:val="single" w:sz="3" w:color="DCE4EB"/>
            </w:tcBorders>
            <w:shd w:fill="F4F7F9"/>
          </w:tcPr>
          <w:p>
            <w:pPr>
              <w:spacing w:after="20" w:before="20"/>
            </w:pPr>
            <w:r>
              <w:rPr>
                <w:color w:val="1A2D43"/>
                <w:sz w:val="15"/>
              </w:rPr>
              <w:t>Chưa xác nhận closure của bug / coverage gap</w:t>
            </w:r>
          </w:p>
        </w:tc>
      </w:tr>
    </w:tbl>
    <w:p>
      <w:pPr>
        <w:spacing w:after="0"/>
      </w:pPr>
    </w:p>
    <w:p>
      <w:pPr/>
      <w:r>
        <w:t>Phiên bản v1.0 · 28/10/2026 · Chuẩn hóa báo cáo lịch sử theo mẫu Word QA dùng chung. Không cập nhật trạng thái Jira thành Done; không đồng nghĩa QA approval.</w:t>
      </w:r>
    </w:p>
    <w:sectPr w:rsidR="00FC693F" w:rsidRPr="0006063C" w:rsidSect="00034616">
      <w:headerReference w:type="default" r:id="rId9"/>
      <w:footerReference w:type="default" r:id="rId10"/>
      <w:pgSz w:w="11909" w:h="16834"/>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4"/>
      </w:rPr>
      <w:t xml:space="preserve">SPARK-314  •  DRAFT – CHƯA NGHIỆM THU  •  28/10/2026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B78"/>
        <w:sz w:val="15"/>
      </w:rPr>
      <w:t>SMART PARKING  /  QA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1A2D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777A"/>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A2D4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A2D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D6B78"/>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