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80579" w14:textId="77777777" w:rsidR="001B5176" w:rsidRDefault="001B5176" w:rsidP="00BA33D2"/>
    <w:p w14:paraId="769E60F9" w14:textId="77777777" w:rsidR="007A5E32" w:rsidRDefault="007A5E32" w:rsidP="00D622B8"/>
    <w:p w14:paraId="2F2DB05E" w14:textId="77777777" w:rsidR="001E4BCB" w:rsidRPr="001E4BCB" w:rsidRDefault="001E4BCB" w:rsidP="001E4BCB">
      <w:pPr>
        <w:rPr>
          <w:b/>
          <w:bCs/>
        </w:rPr>
      </w:pPr>
      <w:r w:rsidRPr="001E4BCB">
        <w:rPr>
          <w:b/>
          <w:bCs/>
        </w:rPr>
        <w:t>Arguments</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238"/>
        <w:gridCol w:w="6402"/>
      </w:tblGrid>
      <w:tr w:rsidR="001E4BCB" w:rsidRPr="001E4BCB" w14:paraId="29826B64" w14:textId="77777777" w:rsidTr="001E4BCB">
        <w:trPr>
          <w:tblCellSpacing w:w="15" w:type="dxa"/>
        </w:trPr>
        <w:tc>
          <w:tcPr>
            <w:tcW w:w="0" w:type="auto"/>
            <w:shd w:val="clear" w:color="auto" w:fill="FFFFFF"/>
            <w:tcMar>
              <w:top w:w="15" w:type="dxa"/>
              <w:left w:w="15" w:type="dxa"/>
              <w:bottom w:w="15" w:type="dxa"/>
              <w:right w:w="180" w:type="dxa"/>
            </w:tcMar>
            <w:hideMark/>
          </w:tcPr>
          <w:p w14:paraId="06D3DA99" w14:textId="77777777" w:rsidR="001E4BCB" w:rsidRPr="001E4BCB" w:rsidRDefault="001E4BCB" w:rsidP="001E4BCB">
            <w:r w:rsidRPr="001E4BCB">
              <w:t>data</w:t>
            </w:r>
          </w:p>
        </w:tc>
        <w:tc>
          <w:tcPr>
            <w:tcW w:w="0" w:type="auto"/>
            <w:shd w:val="clear" w:color="auto" w:fill="FFFFFF"/>
            <w:vAlign w:val="center"/>
            <w:hideMark/>
          </w:tcPr>
          <w:p w14:paraId="0875C7E6" w14:textId="77777777" w:rsidR="001E4BCB" w:rsidRPr="001E4BCB" w:rsidRDefault="001E4BCB" w:rsidP="001E4BCB">
            <w:r w:rsidRPr="001E4BCB">
              <w:t xml:space="preserve">A data frame with </w:t>
            </w:r>
            <w:proofErr w:type="spellStart"/>
            <w:r w:rsidRPr="001E4BCB">
              <w:t>colname</w:t>
            </w:r>
            <w:proofErr w:type="spellEnd"/>
            <w:r w:rsidRPr="001E4BCB">
              <w:t xml:space="preserve"> name "</w:t>
            </w:r>
            <w:proofErr w:type="spellStart"/>
            <w:r w:rsidRPr="001E4BCB">
              <w:t>chr","start</w:t>
            </w:r>
            <w:proofErr w:type="spellEnd"/>
            <w:r w:rsidRPr="001E4BCB">
              <w:t>", "</w:t>
            </w:r>
            <w:proofErr w:type="spellStart"/>
            <w:r w:rsidRPr="001E4BCB">
              <w:t>end","p</w:t>
            </w:r>
            <w:proofErr w:type="spellEnd"/>
            <w:r w:rsidRPr="001E4BCB">
              <w:t>" and "probe", indicating chromosome (1,</w:t>
            </w:r>
            <w:proofErr w:type="gramStart"/>
            <w:r w:rsidRPr="001E4BCB">
              <w:t>2,3,...</w:t>
            </w:r>
            <w:proofErr w:type="gramEnd"/>
            <w:r w:rsidRPr="001E4BCB">
              <w:t>,</w:t>
            </w:r>
            <w:proofErr w:type="gramStart"/>
            <w:r w:rsidRPr="001E4BCB">
              <w:t>X,Y</w:t>
            </w:r>
            <w:proofErr w:type="gramEnd"/>
            <w:r w:rsidRPr="001E4BCB">
              <w:t>), chromosome start and end position, P value and probe names</w:t>
            </w:r>
          </w:p>
        </w:tc>
      </w:tr>
      <w:tr w:rsidR="001E4BCB" w:rsidRPr="001E4BCB" w14:paraId="66334CF6" w14:textId="77777777" w:rsidTr="001E4BCB">
        <w:trPr>
          <w:tblCellSpacing w:w="15" w:type="dxa"/>
        </w:trPr>
        <w:tc>
          <w:tcPr>
            <w:tcW w:w="0" w:type="auto"/>
            <w:shd w:val="clear" w:color="auto" w:fill="FFFFFF"/>
            <w:tcMar>
              <w:top w:w="15" w:type="dxa"/>
              <w:left w:w="15" w:type="dxa"/>
              <w:bottom w:w="15" w:type="dxa"/>
              <w:right w:w="180" w:type="dxa"/>
            </w:tcMar>
            <w:hideMark/>
          </w:tcPr>
          <w:p w14:paraId="0B5EB4F2" w14:textId="77777777" w:rsidR="001E4BCB" w:rsidRPr="001E4BCB" w:rsidRDefault="001E4BCB" w:rsidP="001E4BCB">
            <w:proofErr w:type="spellStart"/>
            <w:proofErr w:type="gramStart"/>
            <w:r w:rsidRPr="001E4BCB">
              <w:t>include.all.sig.sites</w:t>
            </w:r>
            <w:proofErr w:type="spellEnd"/>
            <w:proofErr w:type="gramEnd"/>
          </w:p>
        </w:tc>
        <w:tc>
          <w:tcPr>
            <w:tcW w:w="0" w:type="auto"/>
            <w:shd w:val="clear" w:color="auto" w:fill="FFFFFF"/>
            <w:vAlign w:val="center"/>
            <w:hideMark/>
          </w:tcPr>
          <w:p w14:paraId="4B5064AE" w14:textId="77777777" w:rsidR="001E4BCB" w:rsidRPr="001E4BCB" w:rsidRDefault="001E4BCB" w:rsidP="001E4BCB">
            <w:r w:rsidRPr="001E4BCB">
              <w:t>Whether to use CpG singletons in calculation of FDR</w:t>
            </w:r>
          </w:p>
        </w:tc>
      </w:tr>
      <w:tr w:rsidR="001E4BCB" w:rsidRPr="001E4BCB" w14:paraId="261C7919" w14:textId="77777777" w:rsidTr="001E4BCB">
        <w:trPr>
          <w:tblCellSpacing w:w="15" w:type="dxa"/>
        </w:trPr>
        <w:tc>
          <w:tcPr>
            <w:tcW w:w="0" w:type="auto"/>
            <w:shd w:val="clear" w:color="auto" w:fill="FFFFFF"/>
            <w:tcMar>
              <w:top w:w="15" w:type="dxa"/>
              <w:left w:w="15" w:type="dxa"/>
              <w:bottom w:w="15" w:type="dxa"/>
              <w:right w:w="180" w:type="dxa"/>
            </w:tcMar>
            <w:hideMark/>
          </w:tcPr>
          <w:p w14:paraId="591C6CD5" w14:textId="67E7869F" w:rsidR="001E4BCB" w:rsidRPr="001E4BCB" w:rsidRDefault="001E4BCB" w:rsidP="001E4BCB">
            <w:hyperlink w:anchor="distance" w:history="1">
              <w:proofErr w:type="spellStart"/>
              <w:proofErr w:type="gramStart"/>
              <w:r w:rsidRPr="006351BA">
                <w:rPr>
                  <w:rStyle w:val="af2"/>
                </w:rPr>
                <w:t>dist.cutoff</w:t>
              </w:r>
              <w:proofErr w:type="spellEnd"/>
              <w:proofErr w:type="gramEnd"/>
            </w:hyperlink>
          </w:p>
        </w:tc>
        <w:tc>
          <w:tcPr>
            <w:tcW w:w="0" w:type="auto"/>
            <w:shd w:val="clear" w:color="auto" w:fill="FFFFFF"/>
            <w:vAlign w:val="center"/>
            <w:hideMark/>
          </w:tcPr>
          <w:p w14:paraId="3287FDB3" w14:textId="77777777" w:rsidR="001E4BCB" w:rsidRPr="001E4BCB" w:rsidRDefault="001E4BCB" w:rsidP="001E4BCB">
            <w:r w:rsidRPr="001E4BCB">
              <w:t xml:space="preserve">Maximum distance in base pair to combine adjacent DMRs, and the maximum distance between </w:t>
            </w:r>
            <w:proofErr w:type="spellStart"/>
            <w:r w:rsidRPr="001E4BCB">
              <w:t>CpGs</w:t>
            </w:r>
            <w:proofErr w:type="spellEnd"/>
            <w:r w:rsidRPr="001E4BCB">
              <w:t xml:space="preserve"> where </w:t>
            </w:r>
            <w:proofErr w:type="gramStart"/>
            <w:r w:rsidRPr="001E4BCB">
              <w:t>auto-correlation</w:t>
            </w:r>
            <w:proofErr w:type="gramEnd"/>
            <w:r w:rsidRPr="001E4BCB">
              <w:t xml:space="preserve"> will be calculated</w:t>
            </w:r>
          </w:p>
        </w:tc>
      </w:tr>
      <w:tr w:rsidR="001E4BCB" w:rsidRPr="001E4BCB" w14:paraId="65534B12" w14:textId="77777777" w:rsidTr="001E4BCB">
        <w:trPr>
          <w:tblCellSpacing w:w="15" w:type="dxa"/>
        </w:trPr>
        <w:tc>
          <w:tcPr>
            <w:tcW w:w="0" w:type="auto"/>
            <w:shd w:val="clear" w:color="auto" w:fill="FFFFFF"/>
            <w:tcMar>
              <w:top w:w="15" w:type="dxa"/>
              <w:left w:w="15" w:type="dxa"/>
              <w:bottom w:w="15" w:type="dxa"/>
              <w:right w:w="180" w:type="dxa"/>
            </w:tcMar>
            <w:hideMark/>
          </w:tcPr>
          <w:p w14:paraId="2D5E68FC" w14:textId="09B4B4CB" w:rsidR="001E4BCB" w:rsidRPr="001E4BCB" w:rsidRDefault="001E4BCB" w:rsidP="001E4BCB">
            <w:hyperlink w:anchor="bin_size" w:history="1">
              <w:proofErr w:type="spellStart"/>
              <w:proofErr w:type="gramStart"/>
              <w:r w:rsidRPr="006351BA">
                <w:rPr>
                  <w:rStyle w:val="af2"/>
                </w:rPr>
                <w:t>bin.size</w:t>
              </w:r>
              <w:proofErr w:type="spellEnd"/>
              <w:proofErr w:type="gramEnd"/>
            </w:hyperlink>
          </w:p>
        </w:tc>
        <w:tc>
          <w:tcPr>
            <w:tcW w:w="0" w:type="auto"/>
            <w:shd w:val="clear" w:color="auto" w:fill="FFFFFF"/>
            <w:vAlign w:val="center"/>
            <w:hideMark/>
          </w:tcPr>
          <w:p w14:paraId="19EE482B" w14:textId="77777777" w:rsidR="001E4BCB" w:rsidRPr="001E4BCB" w:rsidRDefault="001E4BCB" w:rsidP="001E4BCB">
            <w:r w:rsidRPr="001E4BCB">
              <w:t>bin size for autocorrelation calculation</w:t>
            </w:r>
          </w:p>
        </w:tc>
      </w:tr>
      <w:tr w:rsidR="001E4BCB" w:rsidRPr="001E4BCB" w14:paraId="4397CF9D" w14:textId="77777777" w:rsidTr="001E4BCB">
        <w:trPr>
          <w:tblCellSpacing w:w="15" w:type="dxa"/>
        </w:trPr>
        <w:tc>
          <w:tcPr>
            <w:tcW w:w="0" w:type="auto"/>
            <w:shd w:val="clear" w:color="auto" w:fill="FFFFFF"/>
            <w:tcMar>
              <w:top w:w="15" w:type="dxa"/>
              <w:left w:w="15" w:type="dxa"/>
              <w:bottom w:w="15" w:type="dxa"/>
              <w:right w:w="180" w:type="dxa"/>
            </w:tcMar>
            <w:hideMark/>
          </w:tcPr>
          <w:p w14:paraId="4773ED3F" w14:textId="77777777" w:rsidR="001E4BCB" w:rsidRPr="001E4BCB" w:rsidRDefault="001E4BCB" w:rsidP="001E4BCB">
            <w:r w:rsidRPr="001E4BCB">
              <w:t>seed</w:t>
            </w:r>
          </w:p>
        </w:tc>
        <w:tc>
          <w:tcPr>
            <w:tcW w:w="0" w:type="auto"/>
            <w:shd w:val="clear" w:color="auto" w:fill="FFFFFF"/>
            <w:vAlign w:val="center"/>
            <w:hideMark/>
          </w:tcPr>
          <w:p w14:paraId="45615F74" w14:textId="77777777" w:rsidR="001E4BCB" w:rsidRPr="001E4BCB" w:rsidRDefault="001E4BCB" w:rsidP="001E4BCB">
            <w:r w:rsidRPr="001E4BCB">
              <w:t>FDR threshold for initial selection of DMR regions</w:t>
            </w:r>
          </w:p>
        </w:tc>
      </w:tr>
      <w:tr w:rsidR="001E4BCB" w:rsidRPr="001E4BCB" w14:paraId="3E669B84" w14:textId="77777777" w:rsidTr="001E4BCB">
        <w:trPr>
          <w:tblCellSpacing w:w="15" w:type="dxa"/>
        </w:trPr>
        <w:tc>
          <w:tcPr>
            <w:tcW w:w="0" w:type="auto"/>
            <w:shd w:val="clear" w:color="auto" w:fill="FFFFFF"/>
            <w:tcMar>
              <w:top w:w="15" w:type="dxa"/>
              <w:left w:w="15" w:type="dxa"/>
              <w:bottom w:w="15" w:type="dxa"/>
              <w:right w:w="180" w:type="dxa"/>
            </w:tcMar>
            <w:hideMark/>
          </w:tcPr>
          <w:p w14:paraId="32049825" w14:textId="77777777" w:rsidR="001E4BCB" w:rsidRPr="001E4BCB" w:rsidRDefault="001E4BCB" w:rsidP="001E4BCB">
            <w:proofErr w:type="spellStart"/>
            <w:r w:rsidRPr="001E4BCB">
              <w:t>region_plot</w:t>
            </w:r>
            <w:proofErr w:type="spellEnd"/>
          </w:p>
        </w:tc>
        <w:tc>
          <w:tcPr>
            <w:tcW w:w="0" w:type="auto"/>
            <w:shd w:val="clear" w:color="auto" w:fill="FFFFFF"/>
            <w:vAlign w:val="center"/>
            <w:hideMark/>
          </w:tcPr>
          <w:p w14:paraId="754DA2AC" w14:textId="77777777" w:rsidR="001E4BCB" w:rsidRPr="001E4BCB" w:rsidRDefault="001E4BCB" w:rsidP="001E4BCB">
            <w:r w:rsidRPr="001E4BCB">
              <w:t>If TRUE, regional plots will be produced for each DMR</w:t>
            </w:r>
          </w:p>
        </w:tc>
      </w:tr>
      <w:tr w:rsidR="001E4BCB" w:rsidRPr="001E4BCB" w14:paraId="65C314D4" w14:textId="77777777" w:rsidTr="001E4BCB">
        <w:trPr>
          <w:tblCellSpacing w:w="15" w:type="dxa"/>
        </w:trPr>
        <w:tc>
          <w:tcPr>
            <w:tcW w:w="0" w:type="auto"/>
            <w:shd w:val="clear" w:color="auto" w:fill="FFFFFF"/>
            <w:tcMar>
              <w:top w:w="15" w:type="dxa"/>
              <w:left w:w="15" w:type="dxa"/>
              <w:bottom w:w="15" w:type="dxa"/>
              <w:right w:w="180" w:type="dxa"/>
            </w:tcMar>
            <w:hideMark/>
          </w:tcPr>
          <w:p w14:paraId="0168FAB0" w14:textId="77777777" w:rsidR="001E4BCB" w:rsidRPr="001E4BCB" w:rsidRDefault="001E4BCB" w:rsidP="001E4BCB">
            <w:proofErr w:type="spellStart"/>
            <w:r w:rsidRPr="001E4BCB">
              <w:t>mht_plot</w:t>
            </w:r>
            <w:proofErr w:type="spellEnd"/>
          </w:p>
        </w:tc>
        <w:tc>
          <w:tcPr>
            <w:tcW w:w="0" w:type="auto"/>
            <w:shd w:val="clear" w:color="auto" w:fill="FFFFFF"/>
            <w:vAlign w:val="center"/>
            <w:hideMark/>
          </w:tcPr>
          <w:p w14:paraId="3365DC59" w14:textId="77777777" w:rsidR="001E4BCB" w:rsidRPr="001E4BCB" w:rsidRDefault="001E4BCB" w:rsidP="001E4BCB">
            <w:r w:rsidRPr="001E4BCB">
              <w:t xml:space="preserve">If TRUE, a p-value </w:t>
            </w:r>
            <w:proofErr w:type="spellStart"/>
            <w:r w:rsidRPr="001E4BCB">
              <w:t>mahattan</w:t>
            </w:r>
            <w:proofErr w:type="spellEnd"/>
            <w:r w:rsidRPr="001E4BCB">
              <w:t xml:space="preserve"> plot with marked DMRs will be produced</w:t>
            </w:r>
          </w:p>
        </w:tc>
      </w:tr>
      <w:tr w:rsidR="001E4BCB" w:rsidRPr="001E4BCB" w14:paraId="654382DE" w14:textId="77777777" w:rsidTr="001E4BCB">
        <w:trPr>
          <w:tblCellSpacing w:w="15" w:type="dxa"/>
        </w:trPr>
        <w:tc>
          <w:tcPr>
            <w:tcW w:w="0" w:type="auto"/>
            <w:shd w:val="clear" w:color="auto" w:fill="FFFFFF"/>
            <w:tcMar>
              <w:top w:w="15" w:type="dxa"/>
              <w:left w:w="15" w:type="dxa"/>
              <w:bottom w:w="15" w:type="dxa"/>
              <w:right w:w="180" w:type="dxa"/>
            </w:tcMar>
            <w:hideMark/>
          </w:tcPr>
          <w:p w14:paraId="0802EDD6" w14:textId="77777777" w:rsidR="001E4BCB" w:rsidRPr="001E4BCB" w:rsidRDefault="001E4BCB" w:rsidP="001E4BCB">
            <w:r w:rsidRPr="001E4BCB">
              <w:t>verbose</w:t>
            </w:r>
          </w:p>
        </w:tc>
        <w:tc>
          <w:tcPr>
            <w:tcW w:w="0" w:type="auto"/>
            <w:shd w:val="clear" w:color="auto" w:fill="FFFFFF"/>
            <w:vAlign w:val="center"/>
            <w:hideMark/>
          </w:tcPr>
          <w:p w14:paraId="736ADA3E" w14:textId="77777777" w:rsidR="001E4BCB" w:rsidRPr="001E4BCB" w:rsidRDefault="001E4BCB" w:rsidP="001E4BCB">
            <w:r w:rsidRPr="001E4BCB">
              <w:t>Whether to output detailed information</w:t>
            </w:r>
          </w:p>
        </w:tc>
      </w:tr>
    </w:tbl>
    <w:p w14:paraId="5FA0B306" w14:textId="77777777" w:rsidR="001E4BCB" w:rsidRDefault="001E4BCB" w:rsidP="00D622B8"/>
    <w:p w14:paraId="3FAC1ED1" w14:textId="77777777" w:rsidR="001E4BCB" w:rsidRDefault="001E4BCB" w:rsidP="00D622B8"/>
    <w:p w14:paraId="48121751" w14:textId="7FC508A8" w:rsidR="00D622B8" w:rsidRPr="00D622B8" w:rsidRDefault="00D622B8" w:rsidP="00D622B8">
      <w:r w:rsidRPr="00D622B8">
        <w:t>The function </w:t>
      </w:r>
      <w:proofErr w:type="spellStart"/>
      <w:r w:rsidRPr="00D622B8">
        <w:t>ipdmr</w:t>
      </w:r>
      <w:proofErr w:type="spellEnd"/>
      <w:r w:rsidRPr="00D622B8">
        <w:t> appears to be designed to identify </w:t>
      </w:r>
      <w:r w:rsidRPr="00D622B8">
        <w:rPr>
          <w:b/>
          <w:bCs/>
        </w:rPr>
        <w:t>Differentially Methylated Regions (DMRs)</w:t>
      </w:r>
      <w:r w:rsidRPr="00D622B8">
        <w:t xml:space="preserve"> from probe-level or site-level p-value data, likely generated from comparing methylation levels between two groups (e.g., case vs. control, treated vs. untreated). It takes individual site significance (p-values) and groups nearby significant sites into regions, </w:t>
      </w:r>
      <w:r w:rsidR="00B66871" w:rsidRPr="00D622B8">
        <w:t>controlling</w:t>
      </w:r>
      <w:r w:rsidRPr="00D622B8">
        <w:t xml:space="preserve"> false discoveries.</w:t>
      </w:r>
    </w:p>
    <w:p w14:paraId="79155F74" w14:textId="77777777" w:rsidR="00D622B8" w:rsidRPr="00D622B8" w:rsidRDefault="00D622B8" w:rsidP="00D622B8">
      <w:r w:rsidRPr="00D622B8">
        <w:t>Here's a detailed breakdown of the key parameters:</w:t>
      </w:r>
    </w:p>
    <w:p w14:paraId="43FBEDF6" w14:textId="77777777" w:rsidR="00D622B8" w:rsidRPr="00D622B8" w:rsidRDefault="00D622B8" w:rsidP="00D622B8">
      <w:pPr>
        <w:numPr>
          <w:ilvl w:val="0"/>
          <w:numId w:val="1"/>
        </w:numPr>
      </w:pPr>
      <w:r w:rsidRPr="00D622B8">
        <w:rPr>
          <w:b/>
          <w:bCs/>
        </w:rPr>
        <w:t>data</w:t>
      </w:r>
      <w:r w:rsidRPr="00D622B8">
        <w:t>:</w:t>
      </w:r>
    </w:p>
    <w:p w14:paraId="32E4C3EB" w14:textId="77777777" w:rsidR="00D622B8" w:rsidRPr="00D622B8" w:rsidRDefault="00D622B8" w:rsidP="00D622B8">
      <w:pPr>
        <w:numPr>
          <w:ilvl w:val="1"/>
          <w:numId w:val="1"/>
        </w:numPr>
      </w:pPr>
      <w:r w:rsidRPr="00D622B8">
        <w:rPr>
          <w:b/>
          <w:bCs/>
        </w:rPr>
        <w:t>Meaning:</w:t>
      </w:r>
      <w:r w:rsidRPr="00D622B8">
        <w:t> This is the input data frame containing the results of your site-level differential methylation analysis. Each row represents a CpG site or probe.</w:t>
      </w:r>
    </w:p>
    <w:p w14:paraId="0D3CE823" w14:textId="77777777" w:rsidR="00D622B8" w:rsidRPr="00D622B8" w:rsidRDefault="00D622B8" w:rsidP="00D622B8">
      <w:pPr>
        <w:numPr>
          <w:ilvl w:val="1"/>
          <w:numId w:val="1"/>
        </w:numPr>
      </w:pPr>
      <w:r w:rsidRPr="00D622B8">
        <w:rPr>
          <w:b/>
          <w:bCs/>
        </w:rPr>
        <w:t>Columns:</w:t>
      </w:r>
    </w:p>
    <w:p w14:paraId="74A2516A" w14:textId="77777777" w:rsidR="00D622B8" w:rsidRPr="00D622B8" w:rsidRDefault="00D622B8" w:rsidP="00D622B8">
      <w:pPr>
        <w:numPr>
          <w:ilvl w:val="2"/>
          <w:numId w:val="1"/>
        </w:numPr>
      </w:pPr>
      <w:r w:rsidRPr="00D622B8">
        <w:t>chr, start, end: Genomic coordinates of the CpG site/probe.</w:t>
      </w:r>
    </w:p>
    <w:p w14:paraId="121A5362" w14:textId="77777777" w:rsidR="00D622B8" w:rsidRPr="00D622B8" w:rsidRDefault="00D622B8" w:rsidP="00D622B8">
      <w:pPr>
        <w:numPr>
          <w:ilvl w:val="2"/>
          <w:numId w:val="1"/>
        </w:numPr>
      </w:pPr>
      <w:r w:rsidRPr="00D622B8">
        <w:t>p: The p-value testing the significance of differential methylation at that </w:t>
      </w:r>
      <w:r w:rsidRPr="00D622B8">
        <w:rPr>
          <w:i/>
          <w:iCs/>
        </w:rPr>
        <w:t>specific</w:t>
      </w:r>
      <w:r w:rsidRPr="00D622B8">
        <w:t> site.</w:t>
      </w:r>
    </w:p>
    <w:p w14:paraId="16FDA474" w14:textId="77777777" w:rsidR="00D622B8" w:rsidRPr="00D622B8" w:rsidRDefault="00D622B8" w:rsidP="00D622B8">
      <w:pPr>
        <w:numPr>
          <w:ilvl w:val="2"/>
          <w:numId w:val="1"/>
        </w:numPr>
      </w:pPr>
      <w:r w:rsidRPr="00D622B8">
        <w:t>probe: An identifier for the site/probe.</w:t>
      </w:r>
    </w:p>
    <w:p w14:paraId="1B9AC56B" w14:textId="77777777" w:rsidR="00D622B8" w:rsidRPr="00D622B8" w:rsidRDefault="00D622B8" w:rsidP="00D622B8">
      <w:pPr>
        <w:numPr>
          <w:ilvl w:val="0"/>
          <w:numId w:val="1"/>
        </w:numPr>
      </w:pPr>
      <w:proofErr w:type="spellStart"/>
      <w:proofErr w:type="gramStart"/>
      <w:r w:rsidRPr="00D622B8">
        <w:rPr>
          <w:b/>
          <w:bCs/>
        </w:rPr>
        <w:t>include.all.sig.sites</w:t>
      </w:r>
      <w:proofErr w:type="spellEnd"/>
      <w:proofErr w:type="gramEnd"/>
      <w:r w:rsidRPr="00D622B8">
        <w:t>:</w:t>
      </w:r>
    </w:p>
    <w:p w14:paraId="1B945418" w14:textId="77777777" w:rsidR="00D622B8" w:rsidRPr="00D622B8" w:rsidRDefault="00D622B8" w:rsidP="00D622B8">
      <w:pPr>
        <w:numPr>
          <w:ilvl w:val="1"/>
          <w:numId w:val="1"/>
        </w:numPr>
      </w:pPr>
      <w:r w:rsidRPr="00D622B8">
        <w:rPr>
          <w:b/>
          <w:bCs/>
        </w:rPr>
        <w:t>Technical Meaning:</w:t>
      </w:r>
      <w:r w:rsidRPr="00D622B8">
        <w:t> Controls whether CpG sites that are individually significant (below the initial seed p-value threshold) but are </w:t>
      </w:r>
      <w:r w:rsidRPr="00D622B8">
        <w:rPr>
          <w:i/>
          <w:iCs/>
        </w:rPr>
        <w:t>isolated</w:t>
      </w:r>
      <w:r w:rsidRPr="00D622B8">
        <w:t> (not close enough to other significant sites to form a region based on </w:t>
      </w:r>
      <w:proofErr w:type="spellStart"/>
      <w:proofErr w:type="gramStart"/>
      <w:r w:rsidRPr="00D622B8">
        <w:t>dist.cutoff</w:t>
      </w:r>
      <w:proofErr w:type="spellEnd"/>
      <w:proofErr w:type="gramEnd"/>
      <w:r w:rsidRPr="00D622B8">
        <w:t>) are included in the pool of "discoveries" when calculating the False Discovery Rate (FDR).</w:t>
      </w:r>
    </w:p>
    <w:p w14:paraId="246AD55E" w14:textId="77777777" w:rsidR="00D622B8" w:rsidRPr="00D622B8" w:rsidRDefault="00D622B8" w:rsidP="00D622B8">
      <w:pPr>
        <w:numPr>
          <w:ilvl w:val="1"/>
          <w:numId w:val="1"/>
        </w:numPr>
      </w:pPr>
      <w:r w:rsidRPr="00D622B8">
        <w:rPr>
          <w:b/>
          <w:bCs/>
        </w:rPr>
        <w:t>Biological Meaning:</w:t>
      </w:r>
    </w:p>
    <w:p w14:paraId="318836EA" w14:textId="77777777" w:rsidR="00D622B8" w:rsidRPr="001A4967" w:rsidRDefault="00D622B8" w:rsidP="00D622B8">
      <w:pPr>
        <w:numPr>
          <w:ilvl w:val="2"/>
          <w:numId w:val="1"/>
        </w:numPr>
        <w:rPr>
          <w:color w:val="FF0000"/>
        </w:rPr>
      </w:pPr>
      <w:r w:rsidRPr="00D622B8">
        <w:rPr>
          <w:b/>
          <w:bCs/>
        </w:rPr>
        <w:t>TRUE</w:t>
      </w:r>
      <w:r w:rsidRPr="00D622B8">
        <w:t>: You assume that </w:t>
      </w:r>
      <w:r w:rsidRPr="00D622B8">
        <w:rPr>
          <w:i/>
          <w:iCs/>
        </w:rPr>
        <w:t>every</w:t>
      </w:r>
      <w:r w:rsidRPr="00D622B8">
        <w:t xml:space="preserve"> statistically significant CpG site, even those standing alone ("singletons"), represents a </w:t>
      </w:r>
      <w:r w:rsidRPr="00D622B8">
        <w:lastRenderedPageBreak/>
        <w:t>potential true positive discovery. Including them in the FDR calculation means you are controlling the proportion of false positives among </w:t>
      </w:r>
      <w:r w:rsidRPr="00D622B8">
        <w:rPr>
          <w:i/>
          <w:iCs/>
        </w:rPr>
        <w:t>all</w:t>
      </w:r>
      <w:r w:rsidRPr="00D622B8">
        <w:t> initially significant sites (both those in regions and singletons). This can lead to a slightly </w:t>
      </w:r>
      <w:r w:rsidRPr="00D622B8">
        <w:rPr>
          <w:i/>
          <w:iCs/>
        </w:rPr>
        <w:t>more conservative</w:t>
      </w:r>
      <w:r w:rsidRPr="00D622B8">
        <w:t> FDR threshold for the final identified DMRs, as the pool of potential discoveries is larger</w:t>
      </w:r>
      <w:r w:rsidRPr="001A4967">
        <w:rPr>
          <w:color w:val="FF0000"/>
        </w:rPr>
        <w:t>. Biologically, this might be chosen if you believe isolated significant CpG sites could still hold biological relevance, even if they don't cluster into a larger region.</w:t>
      </w:r>
    </w:p>
    <w:p w14:paraId="51AF7896" w14:textId="77777777" w:rsidR="00D622B8" w:rsidRPr="00D622B8" w:rsidRDefault="00D622B8" w:rsidP="00D622B8">
      <w:pPr>
        <w:numPr>
          <w:ilvl w:val="2"/>
          <w:numId w:val="1"/>
        </w:numPr>
      </w:pPr>
      <w:r w:rsidRPr="00D622B8">
        <w:rPr>
          <w:b/>
          <w:bCs/>
        </w:rPr>
        <w:t>FALSE</w:t>
      </w:r>
      <w:r w:rsidRPr="00D622B8">
        <w:t>: You assume that biologically relevant differential methylation primarily occurs in </w:t>
      </w:r>
      <w:r w:rsidRPr="00D622B8">
        <w:rPr>
          <w:i/>
          <w:iCs/>
        </w:rPr>
        <w:t>regions</w:t>
      </w:r>
      <w:r w:rsidRPr="00D622B8">
        <w:t> where multiple nearby sites show changes. Therefore, isolated significant CpG sites (singletons) are potentially noise or less relevant, and they are </w:t>
      </w:r>
      <w:r w:rsidRPr="00D622B8">
        <w:rPr>
          <w:i/>
          <w:iCs/>
        </w:rPr>
        <w:t>excluded</w:t>
      </w:r>
      <w:r w:rsidRPr="00D622B8">
        <w:t> from the count of discoveries when calculating the FDR for the </w:t>
      </w:r>
      <w:r w:rsidRPr="00D622B8">
        <w:rPr>
          <w:i/>
          <w:iCs/>
        </w:rPr>
        <w:t>regions</w:t>
      </w:r>
      <w:r w:rsidRPr="00D622B8">
        <w:t>. This focuses the FDR control specifically on the identified clusters of sites (the DMRs). This might be preferred if the goal is strictly to find extended regions of change and you want to avoid penalizing the FDR calculation with potential noise from isolated sites.</w:t>
      </w:r>
    </w:p>
    <w:p w14:paraId="53B1FA91" w14:textId="77777777" w:rsidR="00D622B8" w:rsidRPr="00D622B8" w:rsidRDefault="00D622B8" w:rsidP="00D622B8">
      <w:pPr>
        <w:numPr>
          <w:ilvl w:val="0"/>
          <w:numId w:val="1"/>
        </w:numPr>
      </w:pPr>
      <w:bookmarkStart w:id="0" w:name="distance"/>
      <w:proofErr w:type="spellStart"/>
      <w:proofErr w:type="gramStart"/>
      <w:r w:rsidRPr="00D622B8">
        <w:rPr>
          <w:b/>
          <w:bCs/>
        </w:rPr>
        <w:t>dist.cutoff</w:t>
      </w:r>
      <w:bookmarkEnd w:id="0"/>
      <w:proofErr w:type="spellEnd"/>
      <w:proofErr w:type="gramEnd"/>
      <w:r w:rsidRPr="00D622B8">
        <w:t>:</w:t>
      </w:r>
    </w:p>
    <w:p w14:paraId="6DE671FA" w14:textId="77777777" w:rsidR="00D622B8" w:rsidRPr="00D622B8" w:rsidRDefault="00D622B8" w:rsidP="00D622B8">
      <w:pPr>
        <w:numPr>
          <w:ilvl w:val="1"/>
          <w:numId w:val="1"/>
        </w:numPr>
      </w:pPr>
      <w:r w:rsidRPr="00D622B8">
        <w:rPr>
          <w:b/>
          <w:bCs/>
        </w:rPr>
        <w:t>Meaning:</w:t>
      </w:r>
      <w:r w:rsidRPr="00D622B8">
        <w:t> This parameter has two roles:</w:t>
      </w:r>
    </w:p>
    <w:p w14:paraId="3CAF73D7" w14:textId="77777777" w:rsidR="00D622B8" w:rsidRPr="00D622B8" w:rsidRDefault="00D622B8" w:rsidP="00D622B8">
      <w:pPr>
        <w:numPr>
          <w:ilvl w:val="2"/>
          <w:numId w:val="1"/>
        </w:numPr>
      </w:pPr>
      <w:r w:rsidRPr="00D622B8">
        <w:rPr>
          <w:b/>
          <w:bCs/>
        </w:rPr>
        <w:t>Merging adjacent DMRs:</w:t>
      </w:r>
      <w:r w:rsidRPr="00D622B8">
        <w:t> If two initially identified significant regions are closer than this distance (in base pairs), they will be merged into a single, larger DMR.</w:t>
      </w:r>
    </w:p>
    <w:p w14:paraId="31FBC7DD" w14:textId="77777777" w:rsidR="00D622B8" w:rsidRPr="00D622B8" w:rsidRDefault="00D622B8" w:rsidP="00D622B8">
      <w:pPr>
        <w:numPr>
          <w:ilvl w:val="2"/>
          <w:numId w:val="1"/>
        </w:numPr>
      </w:pPr>
      <w:r w:rsidRPr="00D622B8">
        <w:rPr>
          <w:b/>
          <w:bCs/>
        </w:rPr>
        <w:t>Autocorrelation calculation:</w:t>
      </w:r>
      <w:r w:rsidRPr="00D622B8">
        <w:t> Defines the maximum distance between CpG sites for which spatial correlation (autocorrelation) will be calculated.</w:t>
      </w:r>
    </w:p>
    <w:p w14:paraId="232F2B13" w14:textId="77777777" w:rsidR="00D622B8" w:rsidRPr="00DC41F9" w:rsidRDefault="00D622B8" w:rsidP="00D622B8">
      <w:pPr>
        <w:numPr>
          <w:ilvl w:val="1"/>
          <w:numId w:val="1"/>
        </w:numPr>
        <w:rPr>
          <w:color w:val="FF0000"/>
        </w:rPr>
      </w:pPr>
      <w:r w:rsidRPr="00D622B8">
        <w:rPr>
          <w:b/>
          <w:bCs/>
        </w:rPr>
        <w:t>Biological Significance:</w:t>
      </w:r>
      <w:r w:rsidRPr="00D622B8">
        <w:t> This reflects the biological scale over which methylation changes are expected to be coordinated or functionally relevant. Setting this requires considering the typical size of regulatory elements (promoters, enhancers, CpG islands) and the density of CpG sites on your platform (e.g., arrays vs. sequencing</w:t>
      </w:r>
      <w:r w:rsidRPr="00DC41F9">
        <w:t>).</w:t>
      </w:r>
      <w:r w:rsidRPr="00DC41F9">
        <w:rPr>
          <w:color w:val="FF0000"/>
        </w:rPr>
        <w:t xml:space="preserve"> A larger cutoff allows for merging regions that are further apart, potentially identifying larger domains of change, while a smaller cutoff keeps identified regions more localized.</w:t>
      </w:r>
    </w:p>
    <w:p w14:paraId="63943DCF" w14:textId="77777777" w:rsidR="00D622B8" w:rsidRPr="00D622B8" w:rsidRDefault="00D622B8" w:rsidP="00D622B8">
      <w:pPr>
        <w:numPr>
          <w:ilvl w:val="0"/>
          <w:numId w:val="1"/>
        </w:numPr>
      </w:pPr>
      <w:bookmarkStart w:id="1" w:name="bin_size"/>
      <w:proofErr w:type="spellStart"/>
      <w:proofErr w:type="gramStart"/>
      <w:r w:rsidRPr="00D622B8">
        <w:rPr>
          <w:b/>
          <w:bCs/>
        </w:rPr>
        <w:t>bin.size</w:t>
      </w:r>
      <w:bookmarkEnd w:id="1"/>
      <w:proofErr w:type="spellEnd"/>
      <w:proofErr w:type="gramEnd"/>
      <w:r w:rsidRPr="00D622B8">
        <w:t>:</w:t>
      </w:r>
    </w:p>
    <w:p w14:paraId="49141A19" w14:textId="77777777" w:rsidR="00D622B8" w:rsidRPr="00D622B8" w:rsidRDefault="00D622B8" w:rsidP="00D622B8">
      <w:pPr>
        <w:numPr>
          <w:ilvl w:val="1"/>
          <w:numId w:val="1"/>
        </w:numPr>
      </w:pPr>
      <w:r w:rsidRPr="00D622B8">
        <w:rPr>
          <w:b/>
          <w:bCs/>
        </w:rPr>
        <w:t>Technical Meaning:</w:t>
      </w:r>
      <w:r w:rsidRPr="00D622B8">
        <w:t xml:space="preserve"> This parameter </w:t>
      </w:r>
      <w:r w:rsidRPr="00483BC0">
        <w:rPr>
          <w:color w:val="FF0000"/>
        </w:rPr>
        <w:t>defines the size of the genomic windows (bins)</w:t>
      </w:r>
      <w:r w:rsidRPr="00D622B8">
        <w:t xml:space="preserve"> used specifically for calculating the </w:t>
      </w:r>
      <w:r w:rsidRPr="00483BC0">
        <w:rPr>
          <w:i/>
          <w:iCs/>
          <w:color w:val="FF0000"/>
        </w:rPr>
        <w:t>autocorrelation</w:t>
      </w:r>
      <w:r w:rsidRPr="00483BC0">
        <w:rPr>
          <w:color w:val="FF0000"/>
        </w:rPr>
        <w:t> of methylation p-values</w:t>
      </w:r>
      <w:r w:rsidRPr="00D622B8">
        <w:t xml:space="preserve"> (or potentially methylation levels, depending on the algorithm's details). The algorithm likely divides chromosomes into bins of this size and assesses how correlated the significance signals are between nearby bins.</w:t>
      </w:r>
    </w:p>
    <w:p w14:paraId="2339FA24" w14:textId="77777777" w:rsidR="00D622B8" w:rsidRPr="00D622B8" w:rsidRDefault="00D622B8" w:rsidP="00D622B8">
      <w:pPr>
        <w:numPr>
          <w:ilvl w:val="1"/>
          <w:numId w:val="1"/>
        </w:numPr>
      </w:pPr>
      <w:r w:rsidRPr="00D622B8">
        <w:rPr>
          <w:b/>
          <w:bCs/>
        </w:rPr>
        <w:t>Biological Meaning</w:t>
      </w:r>
      <w:r w:rsidRPr="00017205">
        <w:rPr>
          <w:b/>
          <w:bCs/>
          <w:color w:val="FF0000"/>
        </w:rPr>
        <w:t>:</w:t>
      </w:r>
      <w:r w:rsidRPr="00017205">
        <w:rPr>
          <w:color w:val="FF0000"/>
        </w:rPr>
        <w:t> This parameter sets the </w:t>
      </w:r>
      <w:r w:rsidRPr="00017205">
        <w:rPr>
          <w:i/>
          <w:iCs/>
          <w:color w:val="FF0000"/>
        </w:rPr>
        <w:t>resolution</w:t>
      </w:r>
      <w:r w:rsidRPr="00017205">
        <w:rPr>
          <w:color w:val="FF0000"/>
        </w:rPr>
        <w:t> or </w:t>
      </w:r>
      <w:r w:rsidRPr="00017205">
        <w:rPr>
          <w:i/>
          <w:iCs/>
          <w:color w:val="FF0000"/>
        </w:rPr>
        <w:t>scale</w:t>
      </w:r>
      <w:r w:rsidRPr="00017205">
        <w:rPr>
          <w:color w:val="FF0000"/>
        </w:rPr>
        <w:t xml:space="preserve"> at which the spatial dependency (correlation) of differential methylation </w:t>
      </w:r>
      <w:r w:rsidRPr="00017205">
        <w:rPr>
          <w:color w:val="FF0000"/>
        </w:rPr>
        <w:lastRenderedPageBreak/>
        <w:t xml:space="preserve">is being measured. </w:t>
      </w:r>
      <w:r w:rsidRPr="00D622B8">
        <w:t>DNA methylation levels at nearby CpG sites are often correlated due to local regulatory mechanisms or chromatin structure.</w:t>
      </w:r>
    </w:p>
    <w:p w14:paraId="023DEE61" w14:textId="77777777" w:rsidR="00D622B8" w:rsidRPr="00017205" w:rsidRDefault="00D622B8" w:rsidP="00D622B8">
      <w:pPr>
        <w:numPr>
          <w:ilvl w:val="2"/>
          <w:numId w:val="1"/>
        </w:numPr>
        <w:rPr>
          <w:color w:val="FF0000"/>
        </w:rPr>
      </w:pPr>
      <w:r w:rsidRPr="00017205">
        <w:rPr>
          <w:color w:val="FF0000"/>
        </w:rPr>
        <w:t>A </w:t>
      </w:r>
      <w:r w:rsidRPr="00017205">
        <w:rPr>
          <w:b/>
          <w:bCs/>
          <w:color w:val="FF0000"/>
        </w:rPr>
        <w:t>small </w:t>
      </w:r>
      <w:proofErr w:type="spellStart"/>
      <w:proofErr w:type="gramStart"/>
      <w:r w:rsidRPr="00017205">
        <w:rPr>
          <w:b/>
          <w:bCs/>
          <w:color w:val="FF0000"/>
        </w:rPr>
        <w:t>bin.size</w:t>
      </w:r>
      <w:proofErr w:type="spellEnd"/>
      <w:proofErr w:type="gramEnd"/>
      <w:r w:rsidRPr="00017205">
        <w:rPr>
          <w:color w:val="FF0000"/>
        </w:rPr>
        <w:t> (e.g., 100 bp) assesses correlation at a very fine, local scale.</w:t>
      </w:r>
    </w:p>
    <w:p w14:paraId="1CEEB4AA" w14:textId="77777777" w:rsidR="00D622B8" w:rsidRPr="00017205" w:rsidRDefault="00D622B8" w:rsidP="00D622B8">
      <w:pPr>
        <w:numPr>
          <w:ilvl w:val="2"/>
          <w:numId w:val="1"/>
        </w:numPr>
        <w:rPr>
          <w:color w:val="FF0000"/>
        </w:rPr>
      </w:pPr>
      <w:r w:rsidRPr="00017205">
        <w:rPr>
          <w:color w:val="FF0000"/>
        </w:rPr>
        <w:t>A </w:t>
      </w:r>
      <w:r w:rsidRPr="00017205">
        <w:rPr>
          <w:b/>
          <w:bCs/>
          <w:color w:val="FF0000"/>
        </w:rPr>
        <w:t>large </w:t>
      </w:r>
      <w:proofErr w:type="spellStart"/>
      <w:proofErr w:type="gramStart"/>
      <w:r w:rsidRPr="00017205">
        <w:rPr>
          <w:b/>
          <w:bCs/>
          <w:color w:val="FF0000"/>
        </w:rPr>
        <w:t>bin.size</w:t>
      </w:r>
      <w:proofErr w:type="spellEnd"/>
      <w:proofErr w:type="gramEnd"/>
      <w:r w:rsidRPr="00017205">
        <w:rPr>
          <w:color w:val="FF0000"/>
        </w:rPr>
        <w:t> (e.g., 5000 bp) assesses correlation over broader genomic distances.</w:t>
      </w:r>
    </w:p>
    <w:p w14:paraId="0C95A4CC" w14:textId="77777777" w:rsidR="00D622B8" w:rsidRPr="00D622B8" w:rsidRDefault="00D622B8" w:rsidP="00D622B8">
      <w:pPr>
        <w:numPr>
          <w:ilvl w:val="1"/>
          <w:numId w:val="1"/>
        </w:numPr>
      </w:pPr>
      <w:r w:rsidRPr="00D622B8">
        <w:rPr>
          <w:b/>
          <w:bCs/>
        </w:rPr>
        <w:t>Why calculate autocorrelation?</w:t>
      </w:r>
      <w:r w:rsidRPr="00D622B8">
        <w:t xml:space="preserve"> Understanding </w:t>
      </w:r>
      <w:proofErr w:type="gramStart"/>
      <w:r w:rsidRPr="00D622B8">
        <w:t>the spatial</w:t>
      </w:r>
      <w:proofErr w:type="gramEnd"/>
      <w:r w:rsidRPr="00D622B8">
        <w:t xml:space="preserve"> correlation helps the algorithm distinguish true regional signals (where nearby sites are expected to show correlated changes) from random noise. The </w:t>
      </w:r>
      <w:proofErr w:type="spellStart"/>
      <w:proofErr w:type="gramStart"/>
      <w:r w:rsidRPr="00D622B8">
        <w:t>bin.size</w:t>
      </w:r>
      <w:proofErr w:type="spellEnd"/>
      <w:proofErr w:type="gramEnd"/>
      <w:r w:rsidRPr="00D622B8">
        <w:t> helps define "nearby" for this calculation. The choice of </w:t>
      </w:r>
      <w:proofErr w:type="spellStart"/>
      <w:proofErr w:type="gramStart"/>
      <w:r w:rsidRPr="00D622B8">
        <w:t>bin.size</w:t>
      </w:r>
      <w:proofErr w:type="spellEnd"/>
      <w:proofErr w:type="gramEnd"/>
      <w:r w:rsidRPr="00D622B8">
        <w:t> should ideally reflect the expected scale of coordinated methylation changes in the biological system being studied (e.g., roughly the size of CpG islands, promoters, or other relevant features).</w:t>
      </w:r>
    </w:p>
    <w:p w14:paraId="63DFD1B7" w14:textId="77777777" w:rsidR="00D622B8" w:rsidRPr="00D622B8" w:rsidRDefault="00D622B8" w:rsidP="00D622B8">
      <w:pPr>
        <w:numPr>
          <w:ilvl w:val="0"/>
          <w:numId w:val="1"/>
        </w:numPr>
      </w:pPr>
      <w:r w:rsidRPr="00D622B8">
        <w:rPr>
          <w:b/>
          <w:bCs/>
        </w:rPr>
        <w:t>seed</w:t>
      </w:r>
      <w:r w:rsidRPr="00D622B8">
        <w:t>:</w:t>
      </w:r>
    </w:p>
    <w:p w14:paraId="1C7D4EBF" w14:textId="77777777" w:rsidR="00D622B8" w:rsidRPr="00D622B8" w:rsidRDefault="00D622B8" w:rsidP="00D622B8">
      <w:pPr>
        <w:numPr>
          <w:ilvl w:val="1"/>
          <w:numId w:val="1"/>
        </w:numPr>
      </w:pPr>
      <w:r w:rsidRPr="00D622B8">
        <w:rPr>
          <w:b/>
          <w:bCs/>
        </w:rPr>
        <w:t>Meaning:</w:t>
      </w:r>
      <w:r w:rsidRPr="00D622B8">
        <w:t> An initial P-value threshold (often referred to as FDR threshold here, which might be slightly confusing terminology if it's a raw P-value cutoff </w:t>
      </w:r>
      <w:r w:rsidRPr="00D622B8">
        <w:rPr>
          <w:i/>
          <w:iCs/>
        </w:rPr>
        <w:t>before</w:t>
      </w:r>
      <w:r w:rsidRPr="00D622B8">
        <w:t> formal FDR calculation for regions). Sites with a p-value below this threshold are considered "candidate" significant sites that can potentially form DMRs.</w:t>
      </w:r>
    </w:p>
    <w:p w14:paraId="0E42B322" w14:textId="77777777" w:rsidR="00D622B8" w:rsidRPr="00D622B8" w:rsidRDefault="00D622B8" w:rsidP="00D622B8">
      <w:pPr>
        <w:numPr>
          <w:ilvl w:val="1"/>
          <w:numId w:val="1"/>
        </w:numPr>
      </w:pPr>
      <w:r w:rsidRPr="00D622B8">
        <w:rPr>
          <w:b/>
          <w:bCs/>
        </w:rPr>
        <w:t>Biological Significance:</w:t>
      </w:r>
      <w:r w:rsidRPr="00D622B8">
        <w:t> Sets the initial sensitivity for detecting potential sites of interest. A lower (more stringent) value selects fewer initial sites, potentially leading to fewer but more robust DMRs. A higher (less stringent) value allows more sites to be considered, potentially identifying more DMRs but also increasing the risk of including noise.</w:t>
      </w:r>
    </w:p>
    <w:p w14:paraId="2FDEC63E" w14:textId="77777777" w:rsidR="00D622B8" w:rsidRPr="00D622B8" w:rsidRDefault="00D622B8" w:rsidP="00D622B8">
      <w:pPr>
        <w:numPr>
          <w:ilvl w:val="0"/>
          <w:numId w:val="1"/>
        </w:numPr>
      </w:pPr>
      <w:proofErr w:type="spellStart"/>
      <w:r w:rsidRPr="00D622B8">
        <w:rPr>
          <w:b/>
          <w:bCs/>
        </w:rPr>
        <w:t>region_plot</w:t>
      </w:r>
      <w:proofErr w:type="spellEnd"/>
      <w:r w:rsidRPr="00D622B8">
        <w:rPr>
          <w:b/>
          <w:bCs/>
        </w:rPr>
        <w:t>, </w:t>
      </w:r>
      <w:proofErr w:type="spellStart"/>
      <w:r w:rsidRPr="00D622B8">
        <w:rPr>
          <w:b/>
          <w:bCs/>
        </w:rPr>
        <w:t>mht_plot</w:t>
      </w:r>
      <w:proofErr w:type="spellEnd"/>
      <w:r w:rsidRPr="00D622B8">
        <w:rPr>
          <w:b/>
          <w:bCs/>
        </w:rPr>
        <w:t>, verbose</w:t>
      </w:r>
      <w:r w:rsidRPr="00D622B8">
        <w:t xml:space="preserve">: These are output and display options, controlling whether plots are generated and how much information is printed during the run. They don't directly influence </w:t>
      </w:r>
      <w:proofErr w:type="gramStart"/>
      <w:r w:rsidRPr="00D622B8">
        <w:t>the DMR</w:t>
      </w:r>
      <w:proofErr w:type="gramEnd"/>
      <w:r w:rsidRPr="00D622B8">
        <w:t xml:space="preserve"> identification biologically but are useful for visualizing and understanding the results.</w:t>
      </w:r>
    </w:p>
    <w:p w14:paraId="1067F66B" w14:textId="77777777" w:rsidR="00D622B8" w:rsidRPr="00D622B8" w:rsidRDefault="00D622B8" w:rsidP="00D622B8">
      <w:r w:rsidRPr="00D622B8">
        <w:t>In essence, </w:t>
      </w:r>
      <w:proofErr w:type="spellStart"/>
      <w:r w:rsidRPr="00D622B8">
        <w:t>ipdmr</w:t>
      </w:r>
      <w:proofErr w:type="spellEnd"/>
      <w:r w:rsidRPr="00D622B8">
        <w:t> uses site-level p-values, considers spatial proximity (</w:t>
      </w:r>
      <w:proofErr w:type="spellStart"/>
      <w:proofErr w:type="gramStart"/>
      <w:r w:rsidRPr="00D622B8">
        <w:t>dist.cutoff</w:t>
      </w:r>
      <w:proofErr w:type="spellEnd"/>
      <w:proofErr w:type="gramEnd"/>
      <w:r w:rsidRPr="00D622B8">
        <w:t>) and optionally spatial correlation (</w:t>
      </w:r>
      <w:proofErr w:type="spellStart"/>
      <w:proofErr w:type="gramStart"/>
      <w:r w:rsidRPr="00D622B8">
        <w:t>bin.size</w:t>
      </w:r>
      <w:proofErr w:type="spellEnd"/>
      <w:proofErr w:type="gramEnd"/>
      <w:r w:rsidRPr="00D622B8">
        <w:t>, </w:t>
      </w:r>
      <w:proofErr w:type="spellStart"/>
      <w:proofErr w:type="gramStart"/>
      <w:r w:rsidRPr="00D622B8">
        <w:t>dist.cutoff</w:t>
      </w:r>
      <w:proofErr w:type="spellEnd"/>
      <w:proofErr w:type="gramEnd"/>
      <w:r w:rsidRPr="00D622B8">
        <w:t>), applies an initial significance filter (seed), and then identifies contiguous regions of differential methylation, controlling for multiple testing (FDR, potentially influenced by </w:t>
      </w:r>
      <w:proofErr w:type="spellStart"/>
      <w:proofErr w:type="gramStart"/>
      <w:r w:rsidRPr="00D622B8">
        <w:t>include.all.sig.sites</w:t>
      </w:r>
      <w:proofErr w:type="spellEnd"/>
      <w:proofErr w:type="gramEnd"/>
      <w:r w:rsidRPr="00D622B8">
        <w:t>). The parameters </w:t>
      </w:r>
      <w:proofErr w:type="spellStart"/>
      <w:proofErr w:type="gramStart"/>
      <w:r w:rsidRPr="00D622B8">
        <w:t>include.all.sig.sites</w:t>
      </w:r>
      <w:proofErr w:type="spellEnd"/>
      <w:proofErr w:type="gramEnd"/>
      <w:r w:rsidRPr="00D622B8">
        <w:t> and </w:t>
      </w:r>
      <w:proofErr w:type="spellStart"/>
      <w:proofErr w:type="gramStart"/>
      <w:r w:rsidRPr="00D622B8">
        <w:t>bin.size</w:t>
      </w:r>
      <w:proofErr w:type="spellEnd"/>
      <w:proofErr w:type="gramEnd"/>
      <w:r w:rsidRPr="00D622B8">
        <w:t> specifically help tailor the FDR calculation strategy and the scale at which spatial correlations are assessed, respectively.</w:t>
      </w:r>
    </w:p>
    <w:p w14:paraId="032B640D" w14:textId="77777777" w:rsidR="00F97E40" w:rsidRDefault="00F97E40"/>
    <w:p w14:paraId="2D857312" w14:textId="77777777" w:rsidR="00D622B8" w:rsidRDefault="00D622B8"/>
    <w:p w14:paraId="4DB6533D" w14:textId="77777777" w:rsidR="00D622B8" w:rsidRDefault="00D622B8"/>
    <w:p w14:paraId="445FA953" w14:textId="77777777" w:rsidR="00D622B8" w:rsidRDefault="00D622B8"/>
    <w:p w14:paraId="19B75C58" w14:textId="77777777" w:rsidR="00D622B8" w:rsidRDefault="00D622B8"/>
    <w:p w14:paraId="02C96FAC" w14:textId="77777777" w:rsidR="00D622B8" w:rsidRDefault="00D622B8"/>
    <w:p w14:paraId="64D29B56" w14:textId="77777777" w:rsidR="00D622B8" w:rsidRDefault="00D622B8"/>
    <w:p w14:paraId="10F70F25" w14:textId="77777777" w:rsidR="00D622B8" w:rsidRDefault="00D622B8"/>
    <w:p w14:paraId="10098AED" w14:textId="77777777" w:rsidR="00D622B8" w:rsidRDefault="00D622B8"/>
    <w:p w14:paraId="3AC03EA1" w14:textId="77777777" w:rsidR="00D622B8" w:rsidRDefault="00D622B8"/>
    <w:p w14:paraId="43D9B984" w14:textId="77777777" w:rsidR="00D622B8" w:rsidRDefault="00D622B8"/>
    <w:p w14:paraId="5C11CFC6" w14:textId="5156D89F" w:rsidR="00D622B8" w:rsidRPr="00D622B8" w:rsidRDefault="00D622B8" w:rsidP="00D622B8">
      <w:r>
        <w:t>B</w:t>
      </w:r>
      <w:r>
        <w:rPr>
          <w:rFonts w:hint="eastAsia"/>
        </w:rPr>
        <w:t>in means:</w:t>
      </w:r>
      <w:r w:rsidRPr="00D622B8">
        <w:rPr>
          <w:rFonts w:ascii="Roboto" w:eastAsia="Times New Roman" w:hAnsi="Roboto" w:cs="Times New Roman"/>
          <w:color w:val="111111"/>
          <w:kern w:val="0"/>
          <w:sz w:val="54"/>
          <w:szCs w:val="54"/>
          <w14:ligatures w14:val="none"/>
        </w:rPr>
        <w:t xml:space="preserve"> </w:t>
      </w:r>
      <w:r w:rsidRPr="00D622B8">
        <w:t>Used to segment the genome</w:t>
      </w:r>
    </w:p>
    <w:p w14:paraId="325CCEA6" w14:textId="77777777" w:rsidR="00D622B8" w:rsidRDefault="00D622B8" w:rsidP="00D622B8">
      <w:hyperlink r:id="rId10" w:tgtFrame="_blank" w:history="1">
        <w:r w:rsidRPr="00D622B8">
          <w:rPr>
            <w:rStyle w:val="af2"/>
          </w:rPr>
          <w:t>In DMR analysis, </w:t>
        </w:r>
        <w:r w:rsidRPr="00D622B8">
          <w:rPr>
            <w:rStyle w:val="af2"/>
            <w:b/>
            <w:bCs/>
          </w:rPr>
          <w:t>bins are used to segment the genome</w:t>
        </w:r>
      </w:hyperlink>
      <w:hyperlink r:id="rId11" w:tgtFrame="_blank" w:history="1">
        <w:r w:rsidRPr="00D622B8">
          <w:rPr>
            <w:rStyle w:val="af2"/>
            <w:b/>
            <w:bCs/>
            <w:vertAlign w:val="superscript"/>
          </w:rPr>
          <w:t>1</w:t>
        </w:r>
      </w:hyperlink>
      <w:r w:rsidRPr="00D622B8">
        <w:t>. </w:t>
      </w:r>
      <w:hyperlink r:id="rId12" w:tgtFrame="_blank" w:history="1">
        <w:r w:rsidRPr="00D622B8">
          <w:rPr>
            <w:rStyle w:val="af2"/>
          </w:rPr>
          <w:t>Bins represent fixed-size regions where different methylation levels are measured. The reliability of each DMR set is evaluated at different methylation thresholds. DMRs are then integrated using a density peak clustering algorithm</w:t>
        </w:r>
      </w:hyperlink>
      <w:hyperlink r:id="rId13" w:tgtFrame="_blank" w:history="1">
        <w:r w:rsidRPr="00D622B8">
          <w:rPr>
            <w:rStyle w:val="af2"/>
            <w:b/>
            <w:bCs/>
            <w:vertAlign w:val="superscript"/>
          </w:rPr>
          <w:t>1</w:t>
        </w:r>
      </w:hyperlink>
      <w:r w:rsidRPr="00D622B8">
        <w:t>.</w:t>
      </w:r>
    </w:p>
    <w:p w14:paraId="4A11FA1E" w14:textId="77777777" w:rsidR="00D622B8" w:rsidRPr="00D622B8" w:rsidRDefault="00D622B8" w:rsidP="00D622B8">
      <w:pPr>
        <w:rPr>
          <w:color w:val="FF0000"/>
        </w:rPr>
      </w:pPr>
      <w:r w:rsidRPr="00D622B8">
        <w:rPr>
          <w:color w:val="FF0000"/>
        </w:rPr>
        <w:t>Generally, using a </w:t>
      </w:r>
      <w:r w:rsidRPr="00D622B8">
        <w:rPr>
          <w:b/>
          <w:bCs/>
          <w:color w:val="FF0000"/>
        </w:rPr>
        <w:t>higher </w:t>
      </w:r>
      <w:proofErr w:type="spellStart"/>
      <w:proofErr w:type="gramStart"/>
      <w:r w:rsidRPr="00D622B8">
        <w:rPr>
          <w:b/>
          <w:bCs/>
          <w:color w:val="FF0000"/>
        </w:rPr>
        <w:t>bin.size</w:t>
      </w:r>
      <w:proofErr w:type="spellEnd"/>
      <w:proofErr w:type="gramEnd"/>
      <w:r w:rsidRPr="00D622B8">
        <w:rPr>
          <w:color w:val="FF0000"/>
        </w:rPr>
        <w:t> is more likely to result in </w:t>
      </w:r>
      <w:r w:rsidRPr="00D622B8">
        <w:rPr>
          <w:b/>
          <w:bCs/>
          <w:color w:val="FF0000"/>
        </w:rPr>
        <w:t>fewer DMRs</w:t>
      </w:r>
      <w:r w:rsidRPr="00D622B8">
        <w:rPr>
          <w:color w:val="FF0000"/>
        </w:rPr>
        <w:t>.</w:t>
      </w:r>
    </w:p>
    <w:p w14:paraId="2EB5354E" w14:textId="77777777" w:rsidR="00D622B8" w:rsidRPr="00D622B8" w:rsidRDefault="00D622B8" w:rsidP="00D622B8">
      <w:pPr>
        <w:rPr>
          <w:color w:val="FF0000"/>
        </w:rPr>
      </w:pPr>
      <w:r w:rsidRPr="00D622B8">
        <w:rPr>
          <w:color w:val="FF0000"/>
        </w:rPr>
        <w:t>Here's the reasoning:</w:t>
      </w:r>
    </w:p>
    <w:p w14:paraId="78CAB418" w14:textId="77777777" w:rsidR="00D622B8" w:rsidRPr="00D622B8" w:rsidRDefault="00D622B8" w:rsidP="00D622B8">
      <w:pPr>
        <w:numPr>
          <w:ilvl w:val="0"/>
          <w:numId w:val="2"/>
        </w:numPr>
      </w:pPr>
      <w:r w:rsidRPr="00D622B8">
        <w:rPr>
          <w:b/>
          <w:bCs/>
        </w:rPr>
        <w:t>Autocorrelation Calculation:</w:t>
      </w:r>
      <w:r w:rsidRPr="00D622B8">
        <w:t> The </w:t>
      </w:r>
      <w:proofErr w:type="spellStart"/>
      <w:proofErr w:type="gramStart"/>
      <w:r w:rsidRPr="00D622B8">
        <w:t>bin.size</w:t>
      </w:r>
      <w:proofErr w:type="spellEnd"/>
      <w:proofErr w:type="gramEnd"/>
      <w:r w:rsidRPr="00D622B8">
        <w:t> defines the genomic window over which the spatial correlation of p-values (or methylation levels) is assessed.</w:t>
      </w:r>
    </w:p>
    <w:p w14:paraId="136BF6DB" w14:textId="77777777" w:rsidR="00D622B8" w:rsidRPr="00D622B8" w:rsidRDefault="00D622B8" w:rsidP="00D622B8">
      <w:pPr>
        <w:numPr>
          <w:ilvl w:val="0"/>
          <w:numId w:val="2"/>
        </w:numPr>
      </w:pPr>
      <w:r w:rsidRPr="00D622B8">
        <w:rPr>
          <w:b/>
          <w:bCs/>
        </w:rPr>
        <w:t>Larger Bins (Higher </w:t>
      </w:r>
      <w:proofErr w:type="spellStart"/>
      <w:proofErr w:type="gramStart"/>
      <w:r w:rsidRPr="00D622B8">
        <w:rPr>
          <w:b/>
          <w:bCs/>
        </w:rPr>
        <w:t>bin.size</w:t>
      </w:r>
      <w:proofErr w:type="spellEnd"/>
      <w:proofErr w:type="gramEnd"/>
      <w:r w:rsidRPr="00D622B8">
        <w:rPr>
          <w:b/>
          <w:bCs/>
        </w:rPr>
        <w:t>):</w:t>
      </w:r>
    </w:p>
    <w:p w14:paraId="2FE9E608" w14:textId="77777777" w:rsidR="00D622B8" w:rsidRPr="00D622B8" w:rsidRDefault="00D622B8" w:rsidP="00D622B8">
      <w:pPr>
        <w:numPr>
          <w:ilvl w:val="1"/>
          <w:numId w:val="2"/>
        </w:numPr>
      </w:pPr>
      <w:r w:rsidRPr="00D622B8">
        <w:t>When you use large bins, you are essentially averaging or assessing correlation over a wider genomic distance.</w:t>
      </w:r>
    </w:p>
    <w:p w14:paraId="3B2A9CC5" w14:textId="77777777" w:rsidR="00D622B8" w:rsidRPr="00D622B8" w:rsidRDefault="00D622B8" w:rsidP="00D622B8">
      <w:pPr>
        <w:numPr>
          <w:ilvl w:val="1"/>
          <w:numId w:val="2"/>
        </w:numPr>
      </w:pPr>
      <w:r w:rsidRPr="00D622B8">
        <w:t>This requires a more extended, consistent signal of differential methylation across that larger bin to register as significant autocorrelation.</w:t>
      </w:r>
    </w:p>
    <w:p w14:paraId="6CCCFF90" w14:textId="77777777" w:rsidR="00D622B8" w:rsidRPr="00D622B8" w:rsidRDefault="00D622B8" w:rsidP="00D622B8">
      <w:pPr>
        <w:numPr>
          <w:ilvl w:val="1"/>
          <w:numId w:val="2"/>
        </w:numPr>
      </w:pPr>
      <w:r w:rsidRPr="00D622B8">
        <w:t xml:space="preserve">Localized "hotspots" of just a few closely spaced significant </w:t>
      </w:r>
      <w:proofErr w:type="spellStart"/>
      <w:r w:rsidRPr="00D622B8">
        <w:t>CpGs</w:t>
      </w:r>
      <w:proofErr w:type="spellEnd"/>
      <w:r w:rsidRPr="00D622B8">
        <w:t xml:space="preserve"> might get "diluted" or averaged out within a large bin, making their correlation signal appear weaker relative to the background.</w:t>
      </w:r>
    </w:p>
    <w:p w14:paraId="0F753AE4" w14:textId="77777777" w:rsidR="00D622B8" w:rsidRPr="00D622B8" w:rsidRDefault="00D622B8" w:rsidP="00D622B8">
      <w:pPr>
        <w:numPr>
          <w:ilvl w:val="1"/>
          <w:numId w:val="2"/>
        </w:numPr>
      </w:pPr>
      <w:r w:rsidRPr="00D622B8">
        <w:t xml:space="preserve">If the algorithm uses this autocorrelation measure as part of its evidence </w:t>
      </w:r>
      <w:proofErr w:type="gramStart"/>
      <w:r w:rsidRPr="00D622B8">
        <w:t>weighting</w:t>
      </w:r>
      <w:proofErr w:type="gramEnd"/>
      <w:r w:rsidRPr="00D622B8">
        <w:t xml:space="preserve"> or filtering step (which is common), requiring strong correlation over large bins will make it harder for regions to pass the threshold. This tends to filter out smaller or less robust DMRs.</w:t>
      </w:r>
    </w:p>
    <w:p w14:paraId="1F60EECF" w14:textId="77777777" w:rsidR="00D622B8" w:rsidRPr="00D622B8" w:rsidRDefault="00D622B8" w:rsidP="00D622B8">
      <w:pPr>
        <w:numPr>
          <w:ilvl w:val="0"/>
          <w:numId w:val="2"/>
        </w:numPr>
      </w:pPr>
      <w:r w:rsidRPr="00D622B8">
        <w:rPr>
          <w:b/>
          <w:bCs/>
        </w:rPr>
        <w:t>Smaller Bins (Lower </w:t>
      </w:r>
      <w:proofErr w:type="spellStart"/>
      <w:proofErr w:type="gramStart"/>
      <w:r w:rsidRPr="00D622B8">
        <w:rPr>
          <w:b/>
          <w:bCs/>
        </w:rPr>
        <w:t>bin.size</w:t>
      </w:r>
      <w:proofErr w:type="spellEnd"/>
      <w:proofErr w:type="gramEnd"/>
      <w:r w:rsidRPr="00D622B8">
        <w:rPr>
          <w:b/>
          <w:bCs/>
        </w:rPr>
        <w:t>):</w:t>
      </w:r>
    </w:p>
    <w:p w14:paraId="64B63498" w14:textId="77777777" w:rsidR="00D622B8" w:rsidRPr="00D622B8" w:rsidRDefault="00D622B8" w:rsidP="00D622B8">
      <w:pPr>
        <w:numPr>
          <w:ilvl w:val="1"/>
          <w:numId w:val="2"/>
        </w:numPr>
      </w:pPr>
      <w:r w:rsidRPr="00D622B8">
        <w:t>Smaller bins assess correlation at a finer, more local scale.</w:t>
      </w:r>
    </w:p>
    <w:p w14:paraId="3D0C8A4E" w14:textId="77777777" w:rsidR="00D622B8" w:rsidRPr="00D622B8" w:rsidRDefault="00D622B8" w:rsidP="00D622B8">
      <w:pPr>
        <w:numPr>
          <w:ilvl w:val="1"/>
          <w:numId w:val="2"/>
        </w:numPr>
      </w:pPr>
      <w:r w:rsidRPr="00D622B8">
        <w:t xml:space="preserve">This makes the analysis more sensitive to detecting correlation even among small clusters of significant </w:t>
      </w:r>
      <w:proofErr w:type="spellStart"/>
      <w:r w:rsidRPr="00D622B8">
        <w:t>CpGs</w:t>
      </w:r>
      <w:proofErr w:type="spellEnd"/>
      <w:r w:rsidRPr="00D622B8">
        <w:t>.</w:t>
      </w:r>
    </w:p>
    <w:p w14:paraId="25229912" w14:textId="77777777" w:rsidR="00D622B8" w:rsidRPr="00D622B8" w:rsidRDefault="00D622B8" w:rsidP="00D622B8">
      <w:pPr>
        <w:numPr>
          <w:ilvl w:val="1"/>
          <w:numId w:val="2"/>
        </w:numPr>
      </w:pPr>
      <w:r w:rsidRPr="00D622B8">
        <w:t>Therefore, smaller bins are more likely to support the identification of smaller DMRs, potentially leading to a larger total number of DMRs identified.</w:t>
      </w:r>
    </w:p>
    <w:p w14:paraId="3B570D00" w14:textId="77777777" w:rsidR="00D622B8" w:rsidRPr="00D622B8" w:rsidRDefault="00D622B8" w:rsidP="00D622B8">
      <w:r w:rsidRPr="00D622B8">
        <w:rPr>
          <w:b/>
          <w:bCs/>
        </w:rPr>
        <w:t>In summary:</w:t>
      </w:r>
    </w:p>
    <w:p w14:paraId="159A7B17" w14:textId="77777777" w:rsidR="00D622B8" w:rsidRPr="00D622B8" w:rsidRDefault="00D622B8" w:rsidP="00D622B8">
      <w:pPr>
        <w:numPr>
          <w:ilvl w:val="0"/>
          <w:numId w:val="3"/>
        </w:numPr>
      </w:pPr>
      <w:r w:rsidRPr="00D622B8">
        <w:rPr>
          <w:b/>
          <w:bCs/>
        </w:rPr>
        <w:t>Higher </w:t>
      </w:r>
      <w:proofErr w:type="spellStart"/>
      <w:proofErr w:type="gramStart"/>
      <w:r w:rsidRPr="00D622B8">
        <w:rPr>
          <w:b/>
          <w:bCs/>
        </w:rPr>
        <w:t>bin.size</w:t>
      </w:r>
      <w:proofErr w:type="spellEnd"/>
      <w:proofErr w:type="gramEnd"/>
      <w:r w:rsidRPr="00D622B8">
        <w:rPr>
          <w:b/>
          <w:bCs/>
        </w:rPr>
        <w:t> -&gt; Assesses correlation over larger regions -&gt; Requires stronger/more extended signal -&gt; Fewer DMRs (likely biased towards larger ones).</w:t>
      </w:r>
    </w:p>
    <w:p w14:paraId="6270DCC6" w14:textId="77777777" w:rsidR="00D622B8" w:rsidRPr="00D622B8" w:rsidRDefault="00D622B8" w:rsidP="00D622B8">
      <w:pPr>
        <w:numPr>
          <w:ilvl w:val="0"/>
          <w:numId w:val="3"/>
        </w:numPr>
      </w:pPr>
      <w:r w:rsidRPr="00D622B8">
        <w:rPr>
          <w:b/>
          <w:bCs/>
        </w:rPr>
        <w:t>Lower </w:t>
      </w:r>
      <w:proofErr w:type="spellStart"/>
      <w:proofErr w:type="gramStart"/>
      <w:r w:rsidRPr="00D622B8">
        <w:rPr>
          <w:b/>
          <w:bCs/>
        </w:rPr>
        <w:t>bin.size</w:t>
      </w:r>
      <w:proofErr w:type="spellEnd"/>
      <w:proofErr w:type="gramEnd"/>
      <w:r w:rsidRPr="00D622B8">
        <w:rPr>
          <w:b/>
          <w:bCs/>
        </w:rPr>
        <w:t> -&gt; Assesses correlation over smaller regions -&gt; More sensitive to local signals -&gt; More DMRs (potentially including smaller ones).</w:t>
      </w:r>
    </w:p>
    <w:p w14:paraId="1ED27358" w14:textId="77777777" w:rsidR="00D622B8" w:rsidRPr="00D622B8" w:rsidRDefault="00D622B8" w:rsidP="00D622B8">
      <w:r w:rsidRPr="00D622B8">
        <w:rPr>
          <w:b/>
          <w:bCs/>
        </w:rPr>
        <w:t>Important Caveat:</w:t>
      </w:r>
      <w:r w:rsidRPr="00D622B8">
        <w:t> The exact impact can depend on the specific algorithm implemented within the </w:t>
      </w:r>
      <w:proofErr w:type="spellStart"/>
      <w:r w:rsidRPr="00D622B8">
        <w:t>ipdmr</w:t>
      </w:r>
      <w:proofErr w:type="spellEnd"/>
      <w:r w:rsidRPr="00D622B8">
        <w:t xml:space="preserve"> function and how it precisely uses the calculated </w:t>
      </w:r>
      <w:r w:rsidRPr="00D622B8">
        <w:lastRenderedPageBreak/>
        <w:t>autocorrelation in conjunction with other parameters like </w:t>
      </w:r>
      <w:proofErr w:type="spellStart"/>
      <w:proofErr w:type="gramStart"/>
      <w:r w:rsidRPr="00D622B8">
        <w:t>dist.cutoff</w:t>
      </w:r>
      <w:proofErr w:type="spellEnd"/>
      <w:proofErr w:type="gramEnd"/>
      <w:r w:rsidRPr="00D622B8">
        <w:t> and the initial seed threshold. However, the general principle described above is the most common relationship between bin size and DMR detection sensitivity in these types of analyses.</w:t>
      </w:r>
    </w:p>
    <w:p w14:paraId="282C7442" w14:textId="77777777" w:rsidR="00D622B8" w:rsidRDefault="00D622B8" w:rsidP="00D622B8"/>
    <w:p w14:paraId="76937510" w14:textId="77777777" w:rsidR="00D45608" w:rsidRDefault="00D45608" w:rsidP="00D622B8"/>
    <w:p w14:paraId="5AA66212" w14:textId="18A87DF8" w:rsidR="00D622B8" w:rsidRDefault="00D622B8"/>
    <w:sectPr w:rsidR="00D622B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509E7" w14:textId="77777777" w:rsidR="00A24AF9" w:rsidRDefault="00A24AF9" w:rsidP="00D622B8">
      <w:r>
        <w:separator/>
      </w:r>
    </w:p>
  </w:endnote>
  <w:endnote w:type="continuationSeparator" w:id="0">
    <w:p w14:paraId="19663795" w14:textId="77777777" w:rsidR="00A24AF9" w:rsidRDefault="00A24AF9" w:rsidP="00D622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FB753" w14:textId="77777777" w:rsidR="00A24AF9" w:rsidRDefault="00A24AF9" w:rsidP="00D622B8">
      <w:r>
        <w:separator/>
      </w:r>
    </w:p>
  </w:footnote>
  <w:footnote w:type="continuationSeparator" w:id="0">
    <w:p w14:paraId="384E3B31" w14:textId="77777777" w:rsidR="00A24AF9" w:rsidRDefault="00A24AF9" w:rsidP="00D622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708B8"/>
    <w:multiLevelType w:val="multilevel"/>
    <w:tmpl w:val="37D6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393405"/>
    <w:multiLevelType w:val="multilevel"/>
    <w:tmpl w:val="DFFEB8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9557C3"/>
    <w:multiLevelType w:val="hybridMultilevel"/>
    <w:tmpl w:val="2CC867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D131A78"/>
    <w:multiLevelType w:val="multilevel"/>
    <w:tmpl w:val="392229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3447681">
    <w:abstractNumId w:val="3"/>
  </w:num>
  <w:num w:numId="2" w16cid:durableId="501622779">
    <w:abstractNumId w:val="1"/>
  </w:num>
  <w:num w:numId="3" w16cid:durableId="1670988069">
    <w:abstractNumId w:val="0"/>
  </w:num>
  <w:num w:numId="4" w16cid:durableId="9392172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C40"/>
    <w:rsid w:val="00017205"/>
    <w:rsid w:val="001A4967"/>
    <w:rsid w:val="001B5176"/>
    <w:rsid w:val="001E4BCB"/>
    <w:rsid w:val="00371A12"/>
    <w:rsid w:val="00483BC0"/>
    <w:rsid w:val="005A5ABE"/>
    <w:rsid w:val="005B62CB"/>
    <w:rsid w:val="006351BA"/>
    <w:rsid w:val="006C0155"/>
    <w:rsid w:val="006F1ED4"/>
    <w:rsid w:val="007A5E32"/>
    <w:rsid w:val="008050FE"/>
    <w:rsid w:val="008308CC"/>
    <w:rsid w:val="008751F5"/>
    <w:rsid w:val="008D73C9"/>
    <w:rsid w:val="009170B3"/>
    <w:rsid w:val="00945958"/>
    <w:rsid w:val="009627DE"/>
    <w:rsid w:val="009F027F"/>
    <w:rsid w:val="00A24AF9"/>
    <w:rsid w:val="00A93C40"/>
    <w:rsid w:val="00B436E2"/>
    <w:rsid w:val="00B66871"/>
    <w:rsid w:val="00BA33D2"/>
    <w:rsid w:val="00D45608"/>
    <w:rsid w:val="00D476B5"/>
    <w:rsid w:val="00D622B8"/>
    <w:rsid w:val="00DC41F9"/>
    <w:rsid w:val="00E74AF1"/>
    <w:rsid w:val="00EB652B"/>
    <w:rsid w:val="00F76636"/>
    <w:rsid w:val="00F97E40"/>
    <w:rsid w:val="00FC68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118055"/>
  <w15:chartTrackingRefBased/>
  <w15:docId w15:val="{D526607F-4077-4DF9-AF20-3BD5DCD93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40" w:lineRule="auto"/>
    </w:pPr>
  </w:style>
  <w:style w:type="paragraph" w:styleId="1">
    <w:name w:val="heading 1"/>
    <w:basedOn w:val="a"/>
    <w:next w:val="a"/>
    <w:link w:val="10"/>
    <w:uiPriority w:val="9"/>
    <w:qFormat/>
    <w:rsid w:val="00A93C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93C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93C4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93C4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93C4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93C40"/>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93C40"/>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93C40"/>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93C40"/>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93C40"/>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A93C40"/>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A93C40"/>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A93C40"/>
    <w:rPr>
      <w:rFonts w:eastAsiaTheme="majorEastAsia" w:cstheme="majorBidi"/>
      <w:i/>
      <w:iCs/>
      <w:color w:val="0F4761" w:themeColor="accent1" w:themeShade="BF"/>
    </w:rPr>
  </w:style>
  <w:style w:type="character" w:customStyle="1" w:styleId="50">
    <w:name w:val="标题 5 字符"/>
    <w:basedOn w:val="a0"/>
    <w:link w:val="5"/>
    <w:uiPriority w:val="9"/>
    <w:semiHidden/>
    <w:rsid w:val="00A93C40"/>
    <w:rPr>
      <w:rFonts w:eastAsiaTheme="majorEastAsia" w:cstheme="majorBidi"/>
      <w:color w:val="0F4761" w:themeColor="accent1" w:themeShade="BF"/>
    </w:rPr>
  </w:style>
  <w:style w:type="character" w:customStyle="1" w:styleId="60">
    <w:name w:val="标题 6 字符"/>
    <w:basedOn w:val="a0"/>
    <w:link w:val="6"/>
    <w:uiPriority w:val="9"/>
    <w:semiHidden/>
    <w:rsid w:val="00A93C40"/>
    <w:rPr>
      <w:rFonts w:eastAsiaTheme="majorEastAsia" w:cstheme="majorBidi"/>
      <w:i/>
      <w:iCs/>
      <w:color w:val="595959" w:themeColor="text1" w:themeTint="A6"/>
    </w:rPr>
  </w:style>
  <w:style w:type="character" w:customStyle="1" w:styleId="70">
    <w:name w:val="标题 7 字符"/>
    <w:basedOn w:val="a0"/>
    <w:link w:val="7"/>
    <w:uiPriority w:val="9"/>
    <w:semiHidden/>
    <w:rsid w:val="00A93C40"/>
    <w:rPr>
      <w:rFonts w:eastAsiaTheme="majorEastAsia" w:cstheme="majorBidi"/>
      <w:color w:val="595959" w:themeColor="text1" w:themeTint="A6"/>
    </w:rPr>
  </w:style>
  <w:style w:type="character" w:customStyle="1" w:styleId="80">
    <w:name w:val="标题 8 字符"/>
    <w:basedOn w:val="a0"/>
    <w:link w:val="8"/>
    <w:uiPriority w:val="9"/>
    <w:semiHidden/>
    <w:rsid w:val="00A93C40"/>
    <w:rPr>
      <w:rFonts w:eastAsiaTheme="majorEastAsia" w:cstheme="majorBidi"/>
      <w:i/>
      <w:iCs/>
      <w:color w:val="272727" w:themeColor="text1" w:themeTint="D8"/>
    </w:rPr>
  </w:style>
  <w:style w:type="character" w:customStyle="1" w:styleId="90">
    <w:name w:val="标题 9 字符"/>
    <w:basedOn w:val="a0"/>
    <w:link w:val="9"/>
    <w:uiPriority w:val="9"/>
    <w:semiHidden/>
    <w:rsid w:val="00A93C40"/>
    <w:rPr>
      <w:rFonts w:eastAsiaTheme="majorEastAsia" w:cstheme="majorBidi"/>
      <w:color w:val="272727" w:themeColor="text1" w:themeTint="D8"/>
    </w:rPr>
  </w:style>
  <w:style w:type="paragraph" w:styleId="a3">
    <w:name w:val="Title"/>
    <w:basedOn w:val="a"/>
    <w:next w:val="a"/>
    <w:link w:val="a4"/>
    <w:uiPriority w:val="10"/>
    <w:qFormat/>
    <w:rsid w:val="00A93C40"/>
    <w:pPr>
      <w:spacing w:after="80"/>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93C4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93C40"/>
    <w:pPr>
      <w:numPr>
        <w:ilvl w:val="1"/>
      </w:numPr>
      <w:spacing w:after="160"/>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A93C4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93C40"/>
    <w:pPr>
      <w:spacing w:before="160" w:after="160"/>
      <w:jc w:val="center"/>
    </w:pPr>
    <w:rPr>
      <w:i/>
      <w:iCs/>
      <w:color w:val="404040" w:themeColor="text1" w:themeTint="BF"/>
    </w:rPr>
  </w:style>
  <w:style w:type="character" w:customStyle="1" w:styleId="a8">
    <w:name w:val="引用 字符"/>
    <w:basedOn w:val="a0"/>
    <w:link w:val="a7"/>
    <w:uiPriority w:val="29"/>
    <w:rsid w:val="00A93C40"/>
    <w:rPr>
      <w:i/>
      <w:iCs/>
      <w:color w:val="404040" w:themeColor="text1" w:themeTint="BF"/>
    </w:rPr>
  </w:style>
  <w:style w:type="paragraph" w:styleId="a9">
    <w:name w:val="List Paragraph"/>
    <w:basedOn w:val="a"/>
    <w:uiPriority w:val="34"/>
    <w:qFormat/>
    <w:rsid w:val="00A93C40"/>
    <w:pPr>
      <w:ind w:left="720"/>
      <w:contextualSpacing/>
    </w:pPr>
  </w:style>
  <w:style w:type="character" w:styleId="aa">
    <w:name w:val="Intense Emphasis"/>
    <w:basedOn w:val="a0"/>
    <w:uiPriority w:val="21"/>
    <w:qFormat/>
    <w:rsid w:val="00A93C40"/>
    <w:rPr>
      <w:i/>
      <w:iCs/>
      <w:color w:val="0F4761" w:themeColor="accent1" w:themeShade="BF"/>
    </w:rPr>
  </w:style>
  <w:style w:type="paragraph" w:styleId="ab">
    <w:name w:val="Intense Quote"/>
    <w:basedOn w:val="a"/>
    <w:next w:val="a"/>
    <w:link w:val="ac"/>
    <w:uiPriority w:val="30"/>
    <w:qFormat/>
    <w:rsid w:val="00A93C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93C40"/>
    <w:rPr>
      <w:i/>
      <w:iCs/>
      <w:color w:val="0F4761" w:themeColor="accent1" w:themeShade="BF"/>
    </w:rPr>
  </w:style>
  <w:style w:type="character" w:styleId="ad">
    <w:name w:val="Intense Reference"/>
    <w:basedOn w:val="a0"/>
    <w:uiPriority w:val="32"/>
    <w:qFormat/>
    <w:rsid w:val="00A93C40"/>
    <w:rPr>
      <w:b/>
      <w:bCs/>
      <w:smallCaps/>
      <w:color w:val="0F4761" w:themeColor="accent1" w:themeShade="BF"/>
      <w:spacing w:val="5"/>
    </w:rPr>
  </w:style>
  <w:style w:type="paragraph" w:styleId="ae">
    <w:name w:val="header"/>
    <w:basedOn w:val="a"/>
    <w:link w:val="af"/>
    <w:uiPriority w:val="99"/>
    <w:unhideWhenUsed/>
    <w:rsid w:val="00D622B8"/>
    <w:pPr>
      <w:tabs>
        <w:tab w:val="center" w:pos="4320"/>
        <w:tab w:val="right" w:pos="8640"/>
      </w:tabs>
    </w:pPr>
  </w:style>
  <w:style w:type="character" w:customStyle="1" w:styleId="af">
    <w:name w:val="页眉 字符"/>
    <w:basedOn w:val="a0"/>
    <w:link w:val="ae"/>
    <w:uiPriority w:val="99"/>
    <w:rsid w:val="00D622B8"/>
  </w:style>
  <w:style w:type="paragraph" w:styleId="af0">
    <w:name w:val="footer"/>
    <w:basedOn w:val="a"/>
    <w:link w:val="af1"/>
    <w:uiPriority w:val="99"/>
    <w:unhideWhenUsed/>
    <w:rsid w:val="00D622B8"/>
    <w:pPr>
      <w:tabs>
        <w:tab w:val="center" w:pos="4320"/>
        <w:tab w:val="right" w:pos="8640"/>
      </w:tabs>
    </w:pPr>
  </w:style>
  <w:style w:type="character" w:customStyle="1" w:styleId="af1">
    <w:name w:val="页脚 字符"/>
    <w:basedOn w:val="a0"/>
    <w:link w:val="af0"/>
    <w:uiPriority w:val="99"/>
    <w:rsid w:val="00D622B8"/>
  </w:style>
  <w:style w:type="character" w:styleId="af2">
    <w:name w:val="Hyperlink"/>
    <w:basedOn w:val="a0"/>
    <w:uiPriority w:val="99"/>
    <w:unhideWhenUsed/>
    <w:rsid w:val="00D622B8"/>
    <w:rPr>
      <w:color w:val="467886" w:themeColor="hyperlink"/>
      <w:u w:val="single"/>
    </w:rPr>
  </w:style>
  <w:style w:type="character" w:styleId="af3">
    <w:name w:val="Unresolved Mention"/>
    <w:basedOn w:val="a0"/>
    <w:uiPriority w:val="99"/>
    <w:semiHidden/>
    <w:unhideWhenUsed/>
    <w:rsid w:val="00D622B8"/>
    <w:rPr>
      <w:color w:val="605E5C"/>
      <w:shd w:val="clear" w:color="auto" w:fill="E1DFDD"/>
    </w:rPr>
  </w:style>
  <w:style w:type="character" w:styleId="af4">
    <w:name w:val="FollowedHyperlink"/>
    <w:basedOn w:val="a0"/>
    <w:uiPriority w:val="99"/>
    <w:semiHidden/>
    <w:unhideWhenUsed/>
    <w:rsid w:val="001A496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050918">
      <w:bodyDiv w:val="1"/>
      <w:marLeft w:val="0"/>
      <w:marRight w:val="0"/>
      <w:marTop w:val="0"/>
      <w:marBottom w:val="0"/>
      <w:divBdr>
        <w:top w:val="none" w:sz="0" w:space="0" w:color="auto"/>
        <w:left w:val="none" w:sz="0" w:space="0" w:color="auto"/>
        <w:bottom w:val="none" w:sz="0" w:space="0" w:color="auto"/>
        <w:right w:val="none" w:sz="0" w:space="0" w:color="auto"/>
      </w:divBdr>
      <w:divsChild>
        <w:div w:id="1007054329">
          <w:marLeft w:val="0"/>
          <w:marRight w:val="0"/>
          <w:marTop w:val="0"/>
          <w:marBottom w:val="120"/>
          <w:divBdr>
            <w:top w:val="none" w:sz="0" w:space="0" w:color="auto"/>
            <w:left w:val="none" w:sz="0" w:space="0" w:color="auto"/>
            <w:bottom w:val="none" w:sz="0" w:space="0" w:color="auto"/>
            <w:right w:val="none" w:sz="0" w:space="0" w:color="auto"/>
          </w:divBdr>
        </w:div>
      </w:divsChild>
    </w:div>
    <w:div w:id="486168603">
      <w:bodyDiv w:val="1"/>
      <w:marLeft w:val="0"/>
      <w:marRight w:val="0"/>
      <w:marTop w:val="0"/>
      <w:marBottom w:val="0"/>
      <w:divBdr>
        <w:top w:val="none" w:sz="0" w:space="0" w:color="auto"/>
        <w:left w:val="none" w:sz="0" w:space="0" w:color="auto"/>
        <w:bottom w:val="none" w:sz="0" w:space="0" w:color="auto"/>
        <w:right w:val="none" w:sz="0" w:space="0" w:color="auto"/>
      </w:divBdr>
    </w:div>
    <w:div w:id="650594086">
      <w:bodyDiv w:val="1"/>
      <w:marLeft w:val="0"/>
      <w:marRight w:val="0"/>
      <w:marTop w:val="0"/>
      <w:marBottom w:val="0"/>
      <w:divBdr>
        <w:top w:val="none" w:sz="0" w:space="0" w:color="auto"/>
        <w:left w:val="none" w:sz="0" w:space="0" w:color="auto"/>
        <w:bottom w:val="none" w:sz="0" w:space="0" w:color="auto"/>
        <w:right w:val="none" w:sz="0" w:space="0" w:color="auto"/>
      </w:divBdr>
      <w:divsChild>
        <w:div w:id="130636530">
          <w:marLeft w:val="0"/>
          <w:marRight w:val="0"/>
          <w:marTop w:val="0"/>
          <w:marBottom w:val="120"/>
          <w:divBdr>
            <w:top w:val="none" w:sz="0" w:space="0" w:color="auto"/>
            <w:left w:val="none" w:sz="0" w:space="0" w:color="auto"/>
            <w:bottom w:val="none" w:sz="0" w:space="0" w:color="auto"/>
            <w:right w:val="none" w:sz="0" w:space="0" w:color="auto"/>
          </w:divBdr>
        </w:div>
      </w:divsChild>
    </w:div>
    <w:div w:id="914902350">
      <w:bodyDiv w:val="1"/>
      <w:marLeft w:val="0"/>
      <w:marRight w:val="0"/>
      <w:marTop w:val="0"/>
      <w:marBottom w:val="0"/>
      <w:divBdr>
        <w:top w:val="none" w:sz="0" w:space="0" w:color="auto"/>
        <w:left w:val="none" w:sz="0" w:space="0" w:color="auto"/>
        <w:bottom w:val="none" w:sz="0" w:space="0" w:color="auto"/>
        <w:right w:val="none" w:sz="0" w:space="0" w:color="auto"/>
      </w:divBdr>
    </w:div>
    <w:div w:id="1274245921">
      <w:bodyDiv w:val="1"/>
      <w:marLeft w:val="0"/>
      <w:marRight w:val="0"/>
      <w:marTop w:val="0"/>
      <w:marBottom w:val="0"/>
      <w:divBdr>
        <w:top w:val="none" w:sz="0" w:space="0" w:color="auto"/>
        <w:left w:val="none" w:sz="0" w:space="0" w:color="auto"/>
        <w:bottom w:val="none" w:sz="0" w:space="0" w:color="auto"/>
        <w:right w:val="none" w:sz="0" w:space="0" w:color="auto"/>
      </w:divBdr>
    </w:div>
    <w:div w:id="1425302878">
      <w:bodyDiv w:val="1"/>
      <w:marLeft w:val="0"/>
      <w:marRight w:val="0"/>
      <w:marTop w:val="0"/>
      <w:marBottom w:val="0"/>
      <w:divBdr>
        <w:top w:val="none" w:sz="0" w:space="0" w:color="auto"/>
        <w:left w:val="none" w:sz="0" w:space="0" w:color="auto"/>
        <w:bottom w:val="none" w:sz="0" w:space="0" w:color="auto"/>
        <w:right w:val="none" w:sz="0" w:space="0" w:color="auto"/>
      </w:divBdr>
    </w:div>
    <w:div w:id="1674333307">
      <w:bodyDiv w:val="1"/>
      <w:marLeft w:val="0"/>
      <w:marRight w:val="0"/>
      <w:marTop w:val="0"/>
      <w:marBottom w:val="0"/>
      <w:divBdr>
        <w:top w:val="none" w:sz="0" w:space="0" w:color="auto"/>
        <w:left w:val="none" w:sz="0" w:space="0" w:color="auto"/>
        <w:bottom w:val="none" w:sz="0" w:space="0" w:color="auto"/>
        <w:right w:val="none" w:sz="0" w:space="0" w:color="auto"/>
      </w:divBdr>
      <w:divsChild>
        <w:div w:id="1415391484">
          <w:marLeft w:val="0"/>
          <w:marRight w:val="0"/>
          <w:marTop w:val="0"/>
          <w:marBottom w:val="120"/>
          <w:divBdr>
            <w:top w:val="none" w:sz="0" w:space="0" w:color="auto"/>
            <w:left w:val="none" w:sz="0" w:space="0" w:color="auto"/>
            <w:bottom w:val="none" w:sz="0" w:space="0" w:color="auto"/>
            <w:right w:val="none" w:sz="0" w:space="0" w:color="auto"/>
          </w:divBdr>
        </w:div>
      </w:divsChild>
    </w:div>
    <w:div w:id="1913150591">
      <w:bodyDiv w:val="1"/>
      <w:marLeft w:val="0"/>
      <w:marRight w:val="0"/>
      <w:marTop w:val="0"/>
      <w:marBottom w:val="0"/>
      <w:divBdr>
        <w:top w:val="none" w:sz="0" w:space="0" w:color="auto"/>
        <w:left w:val="none" w:sz="0" w:space="0" w:color="auto"/>
        <w:bottom w:val="none" w:sz="0" w:space="0" w:color="auto"/>
        <w:right w:val="none" w:sz="0" w:space="0" w:color="auto"/>
      </w:divBdr>
    </w:div>
    <w:div w:id="2037080468">
      <w:bodyDiv w:val="1"/>
      <w:marLeft w:val="0"/>
      <w:marRight w:val="0"/>
      <w:marTop w:val="0"/>
      <w:marBottom w:val="0"/>
      <w:divBdr>
        <w:top w:val="none" w:sz="0" w:space="0" w:color="auto"/>
        <w:left w:val="none" w:sz="0" w:space="0" w:color="auto"/>
        <w:bottom w:val="none" w:sz="0" w:space="0" w:color="auto"/>
        <w:right w:val="none" w:sz="0" w:space="0" w:color="auto"/>
      </w:divBdr>
    </w:div>
    <w:div w:id="2079475048">
      <w:bodyDiv w:val="1"/>
      <w:marLeft w:val="0"/>
      <w:marRight w:val="0"/>
      <w:marTop w:val="0"/>
      <w:marBottom w:val="0"/>
      <w:divBdr>
        <w:top w:val="none" w:sz="0" w:space="0" w:color="auto"/>
        <w:left w:val="none" w:sz="0" w:space="0" w:color="auto"/>
        <w:bottom w:val="none" w:sz="0" w:space="0" w:color="auto"/>
        <w:right w:val="none" w:sz="0" w:space="0" w:color="auto"/>
      </w:divBdr>
      <w:divsChild>
        <w:div w:id="1957785384">
          <w:marLeft w:val="0"/>
          <w:marRight w:val="0"/>
          <w:marTop w:val="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bing.com/ck/a?!&amp;&amp;p=e8849032ed02c7f595c292a892d6c77ff3d05ec5d339a8d8f927482865e700faJmltdHM9MTc0NTM2NjQwMA&amp;ptn=3&amp;ver=2&amp;hsh=4&amp;fclid=03125675-40ba-641b-1f9e-42ad41946506&amp;u=a1aHR0cHM6Ly9hcnhpdi5vcmcvYWJzLzI0MDcuMTAyMTU&amp;ntb=1"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bing.com/ck/a?!&amp;&amp;p=e8849032ed02c7f595c292a892d6c77ff3d05ec5d339a8d8f927482865e700faJmltdHM9MTc0NTM2NjQwMA&amp;ptn=3&amp;ver=2&amp;hsh=4&amp;fclid=03125675-40ba-641b-1f9e-42ad41946506&amp;u=a1aHR0cHM6Ly9hcnhpdi5vcmcvYWJzLzI0MDcuMTAyMTU&amp;ntb=1"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bing.com/ck/a?!&amp;&amp;p=e8849032ed02c7f595c292a892d6c77ff3d05ec5d339a8d8f927482865e700faJmltdHM9MTc0NTM2NjQwMA&amp;ptn=3&amp;ver=2&amp;hsh=4&amp;fclid=03125675-40ba-641b-1f9e-42ad41946506&amp;u=a1aHR0cHM6Ly9hcnhpdi5vcmcvYWJzLzI0MDcuMTAyMTU&amp;ntb=1"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www.bing.com/ck/a?!&amp;&amp;p=e8849032ed02c7f595c292a892d6c77ff3d05ec5d339a8d8f927482865e700faJmltdHM9MTc0NTM2NjQwMA&amp;ptn=3&amp;ver=2&amp;hsh=4&amp;fclid=03125675-40ba-641b-1f9e-42ad41946506&amp;u=a1aHR0cHM6Ly9hcnhpdi5vcmcvYWJzLzI0MDcuMTAyMTU&amp;ntb=1"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E9DB1EA1BA384428BD0E99F041AE1BD" ma:contentTypeVersion="12" ma:contentTypeDescription="Create a new document." ma:contentTypeScope="" ma:versionID="303cfee384207d3c2e4c099e28ffbf68">
  <xsd:schema xmlns:xsd="http://www.w3.org/2001/XMLSchema" xmlns:xs="http://www.w3.org/2001/XMLSchema" xmlns:p="http://schemas.microsoft.com/office/2006/metadata/properties" xmlns:ns3="b30245eb-8a74-4a07-8413-a2e4e813524b" targetNamespace="http://schemas.microsoft.com/office/2006/metadata/properties" ma:root="true" ma:fieldsID="8de744a119111b26f68a336be037f90f" ns3:_="">
    <xsd:import namespace="b30245eb-8a74-4a07-8413-a2e4e813524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0245eb-8a74-4a07-8413-a2e4e813524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b30245eb-8a74-4a07-8413-a2e4e813524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150862-A9F7-4224-8815-50E2616F58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0245eb-8a74-4a07-8413-a2e4e81352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809E75-1951-4A4B-8F02-E94EDD40CB01}">
  <ds:schemaRefs>
    <ds:schemaRef ds:uri="http://schemas.microsoft.com/office/infopath/2007/PartnerControls"/>
    <ds:schemaRef ds:uri="http://schemas.openxmlformats.org/package/2006/metadata/core-properties"/>
    <ds:schemaRef ds:uri="http://purl.org/dc/elements/1.1/"/>
    <ds:schemaRef ds:uri="http://purl.org/dc/terms/"/>
    <ds:schemaRef ds:uri="http://schemas.microsoft.com/office/2006/documentManagement/types"/>
    <ds:schemaRef ds:uri="http://schemas.microsoft.com/office/2006/metadata/properties"/>
    <ds:schemaRef ds:uri="http://www.w3.org/XML/1998/namespace"/>
    <ds:schemaRef ds:uri="b30245eb-8a74-4a07-8413-a2e4e813524b"/>
    <ds:schemaRef ds:uri="http://purl.org/dc/dcmitype/"/>
  </ds:schemaRefs>
</ds:datastoreItem>
</file>

<file path=customXml/itemProps3.xml><?xml version="1.0" encoding="utf-8"?>
<ds:datastoreItem xmlns:ds="http://schemas.openxmlformats.org/officeDocument/2006/customXml" ds:itemID="{AEF7ACAD-56FF-479F-8704-52289802A15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5</Pages>
  <Words>1539</Words>
  <Characters>8775</Characters>
  <Application>Microsoft Office Word</Application>
  <DocSecurity>0</DocSecurity>
  <Lines>73</Lines>
  <Paragraphs>20</Paragraphs>
  <ScaleCrop>false</ScaleCrop>
  <Company/>
  <LinksUpToDate>false</LinksUpToDate>
  <CharactersWithSpaces>10294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Quanjiang</dc:creator>
  <cp:keywords/>
  <dc:description/>
  <cp:lastModifiedBy>Li, Quanjiang</cp:lastModifiedBy>
  <cp:revision>18</cp:revision>
  <dcterms:created xsi:type="dcterms:W3CDTF">2025-04-23T15:55:00Z</dcterms:created>
  <dcterms:modified xsi:type="dcterms:W3CDTF">2025-05-28T22:08:00Z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0x0101003E9DB1EA1BA384428BD0E99F041AE1BD</vt:lpwstr>
  </property>
</Properties>
</file>