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28D86" w14:textId="77777777" w:rsidR="0037762E" w:rsidRDefault="00000000">
      <w:pPr>
        <w:spacing w:after="80"/>
      </w:pPr>
      <w:r>
        <w:rPr>
          <w:rFonts w:ascii="Calibri" w:hAnsi="Calibri"/>
          <w:b/>
          <w:color w:val="0F172A"/>
          <w:sz w:val="48"/>
        </w:rPr>
        <w:t>Clinical GraphRAG vs. MMGraphRAG</w:t>
      </w:r>
    </w:p>
    <w:p w14:paraId="345C3A67" w14:textId="77777777" w:rsidR="0037762E" w:rsidRDefault="00000000">
      <w:pPr>
        <w:spacing w:after="320"/>
      </w:pPr>
      <w:r>
        <w:rPr>
          <w:rFonts w:ascii="Calibri" w:hAnsi="Calibri"/>
          <w:color w:val="475569"/>
          <w:sz w:val="26"/>
        </w:rPr>
        <w:t>Comparative Technical Architecture, SpecLink Mathematical Blueprint, Autonomous Evaluation &amp; Engineering Specifications</w:t>
      </w:r>
    </w:p>
    <w:tbl>
      <w:tblPr>
        <w:tblW w:w="0" w:type="auto"/>
        <w:jc w:val="center"/>
        <w:tblLayout w:type="fixed"/>
        <w:tblLook w:val="04A0" w:firstRow="1" w:lastRow="0" w:firstColumn="1" w:lastColumn="0" w:noHBand="0" w:noVBand="1"/>
      </w:tblPr>
      <w:tblGrid>
        <w:gridCol w:w="2592"/>
        <w:gridCol w:w="6768"/>
      </w:tblGrid>
      <w:tr w:rsidR="0037762E" w14:paraId="6897DC4B" w14:textId="77777777">
        <w:trPr>
          <w:jc w:val="center"/>
        </w:trPr>
        <w:tc>
          <w:tcPr>
            <w:tcW w:w="2592" w:type="dxa"/>
            <w:shd w:val="clear" w:color="auto" w:fill="F8FAFC"/>
          </w:tcPr>
          <w:p w14:paraId="51394A66" w14:textId="77777777" w:rsidR="0037762E" w:rsidRDefault="00000000">
            <w:pPr>
              <w:spacing w:before="40" w:after="40"/>
            </w:pPr>
            <w:r>
              <w:rPr>
                <w:rFonts w:ascii="Calibri" w:hAnsi="Calibri"/>
                <w:b/>
                <w:color w:val="1E293B"/>
                <w:sz w:val="20"/>
              </w:rPr>
              <w:t>Clinical Focus:</w:t>
            </w:r>
          </w:p>
        </w:tc>
        <w:tc>
          <w:tcPr>
            <w:tcW w:w="6768" w:type="dxa"/>
            <w:shd w:val="clear" w:color="auto" w:fill="F8FAFC"/>
          </w:tcPr>
          <w:p w14:paraId="1DE801C0" w14:textId="77777777" w:rsidR="0037762E" w:rsidRDefault="00000000">
            <w:pPr>
              <w:spacing w:before="40" w:after="40"/>
            </w:pPr>
            <w:r>
              <w:rPr>
                <w:rFonts w:ascii="Calibri" w:hAnsi="Calibri"/>
                <w:color w:val="475569"/>
                <w:sz w:val="20"/>
              </w:rPr>
              <w:t>Tropical &amp; Infectious Diseases Diagnostic Assistant (Supervisor: Dr. Tran Duc Khanh)</w:t>
            </w:r>
          </w:p>
        </w:tc>
      </w:tr>
      <w:tr w:rsidR="0037762E" w14:paraId="55751B28" w14:textId="77777777">
        <w:trPr>
          <w:jc w:val="center"/>
        </w:trPr>
        <w:tc>
          <w:tcPr>
            <w:tcW w:w="2592" w:type="dxa"/>
            <w:shd w:val="clear" w:color="auto" w:fill="F8FAFC"/>
          </w:tcPr>
          <w:p w14:paraId="24EB1645" w14:textId="77777777" w:rsidR="0037762E" w:rsidRDefault="00000000">
            <w:pPr>
              <w:spacing w:before="40" w:after="40"/>
            </w:pPr>
            <w:r>
              <w:rPr>
                <w:rFonts w:ascii="Calibri" w:hAnsi="Calibri"/>
                <w:b/>
                <w:color w:val="1E293B"/>
                <w:sz w:val="20"/>
              </w:rPr>
              <w:t>Benchmark Dataset:</w:t>
            </w:r>
          </w:p>
        </w:tc>
        <w:tc>
          <w:tcPr>
            <w:tcW w:w="6768" w:type="dxa"/>
            <w:shd w:val="clear" w:color="auto" w:fill="F8FAFC"/>
          </w:tcPr>
          <w:p w14:paraId="69C2138E" w14:textId="77777777" w:rsidR="0037762E" w:rsidRDefault="00000000">
            <w:pPr>
              <w:spacing w:before="40" w:after="40"/>
            </w:pPr>
            <w:r>
              <w:rPr>
                <w:rFonts w:ascii="Calibri" w:hAnsi="Calibri"/>
                <w:color w:val="475569"/>
                <w:sz w:val="20"/>
              </w:rPr>
              <w:t>MultiCaRe Corpus (6,694 Cases: 5,355 Training / 1,339 Withheld Evaluation)</w:t>
            </w:r>
          </w:p>
        </w:tc>
      </w:tr>
      <w:tr w:rsidR="0037762E" w14:paraId="3668E06C" w14:textId="77777777">
        <w:trPr>
          <w:jc w:val="center"/>
        </w:trPr>
        <w:tc>
          <w:tcPr>
            <w:tcW w:w="2592" w:type="dxa"/>
            <w:shd w:val="clear" w:color="auto" w:fill="F8FAFC"/>
          </w:tcPr>
          <w:p w14:paraId="089FAEF1" w14:textId="77777777" w:rsidR="0037762E" w:rsidRDefault="00000000">
            <w:pPr>
              <w:spacing w:before="40" w:after="40"/>
            </w:pPr>
            <w:r>
              <w:rPr>
                <w:rFonts w:ascii="Calibri" w:hAnsi="Calibri"/>
                <w:b/>
                <w:color w:val="1E293B"/>
                <w:sz w:val="20"/>
              </w:rPr>
              <w:t>Foundation Model:</w:t>
            </w:r>
          </w:p>
        </w:tc>
        <w:tc>
          <w:tcPr>
            <w:tcW w:w="6768" w:type="dxa"/>
            <w:shd w:val="clear" w:color="auto" w:fill="F8FAFC"/>
          </w:tcPr>
          <w:p w14:paraId="71070C1E" w14:textId="77777777" w:rsidR="0037762E" w:rsidRDefault="00000000">
            <w:pPr>
              <w:spacing w:before="40" w:after="40"/>
            </w:pPr>
            <w:r>
              <w:rPr>
                <w:rFonts w:ascii="Calibri" w:hAnsi="Calibri"/>
                <w:color w:val="475569"/>
                <w:sz w:val="20"/>
              </w:rPr>
              <w:t>google/medgemma-1.5-4b-it (Adaptive NF4 Quantization local / BF16 server)</w:t>
            </w:r>
          </w:p>
        </w:tc>
      </w:tr>
      <w:tr w:rsidR="0037762E" w14:paraId="668AE56F" w14:textId="77777777">
        <w:trPr>
          <w:jc w:val="center"/>
        </w:trPr>
        <w:tc>
          <w:tcPr>
            <w:tcW w:w="2592" w:type="dxa"/>
            <w:shd w:val="clear" w:color="auto" w:fill="F8FAFC"/>
          </w:tcPr>
          <w:p w14:paraId="70765D15" w14:textId="77777777" w:rsidR="0037762E" w:rsidRDefault="00000000">
            <w:pPr>
              <w:spacing w:before="40" w:after="40"/>
            </w:pPr>
            <w:r>
              <w:rPr>
                <w:rFonts w:ascii="Calibri" w:hAnsi="Calibri"/>
                <w:b/>
                <w:color w:val="1E293B"/>
                <w:sz w:val="20"/>
              </w:rPr>
              <w:t>Dual Architectures:</w:t>
            </w:r>
          </w:p>
        </w:tc>
        <w:tc>
          <w:tcPr>
            <w:tcW w:w="6768" w:type="dxa"/>
            <w:shd w:val="clear" w:color="auto" w:fill="F8FAFC"/>
          </w:tcPr>
          <w:p w14:paraId="07DDE445" w14:textId="77777777" w:rsidR="0037762E" w:rsidRDefault="00000000">
            <w:pPr>
              <w:spacing w:before="40" w:after="40"/>
            </w:pPr>
            <w:r>
              <w:rPr>
                <w:rFonts w:ascii="Calibri" w:hAnsi="Calibri"/>
                <w:color w:val="475569"/>
                <w:sz w:val="20"/>
              </w:rPr>
              <w:t>Part I: Text GraphRAG (Neo4j) | Part II: Multimodal GraphRAG (SpecLink CMEL)</w:t>
            </w:r>
          </w:p>
        </w:tc>
      </w:tr>
    </w:tbl>
    <w:p w14:paraId="7990C044" w14:textId="77777777" w:rsidR="0037762E" w:rsidRDefault="0037762E">
      <w:pPr>
        <w:spacing w:after="240"/>
      </w:pPr>
    </w:p>
    <w:p w14:paraId="412CF4F4" w14:textId="77777777" w:rsidR="0037762E" w:rsidRDefault="00000000">
      <w:pPr>
        <w:pStyle w:val="Heading1"/>
        <w:spacing w:before="320" w:after="120"/>
      </w:pPr>
      <w:r>
        <w:t>1. Executive Summary &amp; Architectural Overview</w:t>
      </w:r>
    </w:p>
    <w:p w14:paraId="37EE30FF" w14:textId="6D436795" w:rsidR="0037762E" w:rsidRDefault="00000000" w:rsidP="008B0DC6">
      <w:r>
        <w:t>This report articulates the engineering design, knowledge graph schemas, mathematical formulations, and evaluation methodologies of two distinct clinical retrieval systems built for tropical and infectious disease diagnosis:</w:t>
      </w:r>
      <w:r>
        <w:br/>
        <w:t>1. Text GraphRAG (Graph Retrieval-Augmented Generation): An isolated text-based retrieval system querying structured disease-symptom-lab subgraphs in Neo4j to ground small multimodal models (MedGemma-1.5 4B).</w:t>
      </w:r>
      <w:r>
        <w:br/>
        <w:t>2. MMGraphRAG (Multimodal Graph Retrieval-Augmented Generation): A cross-modal reasoning system that extracts clinical scene graphs from diagnostic imagery (CT, histopathology, endoscopy, microscopy) and dynamically binds them to canonical diseases via SpecLink (Spectral Graph Clustering &amp; Cross-Modal Entity Linking), formulated by Wan &amp; Yu (arXiv:2507.20804v3, July 2026).</w:t>
      </w:r>
    </w:p>
    <w:p w14:paraId="47DA84F9" w14:textId="77777777" w:rsidR="0037762E" w:rsidRDefault="00000000">
      <w:pPr>
        <w:pStyle w:val="Heading1"/>
        <w:spacing w:before="360" w:after="120"/>
      </w:pPr>
      <w:r>
        <w:t>2. Architecture I: Text-Only GraphRAG</w:t>
      </w:r>
    </w:p>
    <w:p w14:paraId="252C123C" w14:textId="77777777" w:rsidR="0037762E" w:rsidRDefault="00000000">
      <w:r>
        <w:t>Text GraphRAG addresses diagnostic hallucination by replacing vector similarity search with deterministic, structured knowledge graph traversals over clinical entities.</w:t>
      </w:r>
    </w:p>
    <w:p w14:paraId="26C4501B" w14:textId="77777777" w:rsidR="0037762E" w:rsidRDefault="00000000">
      <w:pPr>
        <w:pStyle w:val="Heading2"/>
      </w:pPr>
      <w:r>
        <w:t>2.1 Knowledge Graph Representation (Text Subgraph)</w:t>
      </w:r>
    </w:p>
    <w:p w14:paraId="5441DA26" w14:textId="77777777" w:rsidR="0037762E" w:rsidRDefault="00000000">
      <w:r>
        <w:t>The text knowledge graph in Neo4j (`bolt://localhost:7687`) is modeled with three primary clinical entity types:</w:t>
      </w:r>
      <w:r>
        <w:br/>
        <w:t>• (:Disease): 52 canonical tropical and infectious disease entities (e.g., Tuberculosis, Covid19, Leprosy, Malaria, Echinococcosis).</w:t>
      </w:r>
      <w:r>
        <w:br/>
        <w:t>• (:Symptom): 43 clinical symptom entities (e.g., hemoptysis, chronic cough, night sweats, fever, weight loss).</w:t>
      </w:r>
      <w:r>
        <w:br/>
        <w:t>• (:LabFinding): 29 confirmatory laboratory and diagnostic test entities (e.g., sputum afb, chest ct, cd4 count, biopsy).</w:t>
      </w:r>
      <w:r>
        <w:br/>
        <w:t>• Relations: Connected via (:Disease)-[:PRESENTS_WITH {frequency: int}]-&gt;(:Symptom) [770 edges] and (:Disease)-[:CONFIRMED_BY {frequency: int}]-&gt;(:LabFinding) [485 edges].</w:t>
      </w:r>
    </w:p>
    <w:p w14:paraId="7D5AC270" w14:textId="77777777" w:rsidR="0037762E" w:rsidRDefault="00000000">
      <w:pPr>
        <w:pStyle w:val="Heading2"/>
      </w:pPr>
      <w:r>
        <w:lastRenderedPageBreak/>
        <w:t>2.2 Retrieval Algorithm &amp; Evidence Ranking</w:t>
      </w:r>
    </w:p>
    <w:p w14:paraId="1DE22C57" w14:textId="77777777" w:rsidR="0037762E" w:rsidRDefault="00000000">
      <w:r>
        <w:t>When presented with a patient narrative, the system extracts mentioned symptoms and lab findings, then executes a weighted aggregation query in Cypher across candidate diseases:</w:t>
      </w:r>
    </w:p>
    <w:tbl>
      <w:tblPr>
        <w:tblW w:w="0" w:type="auto"/>
        <w:jc w:val="center"/>
        <w:tblLayout w:type="fixed"/>
        <w:tblLook w:val="04A0" w:firstRow="1" w:lastRow="0" w:firstColumn="1" w:lastColumn="0" w:noHBand="0" w:noVBand="1"/>
      </w:tblPr>
      <w:tblGrid>
        <w:gridCol w:w="9360"/>
      </w:tblGrid>
      <w:tr w:rsidR="0037762E" w14:paraId="0B34A48B" w14:textId="77777777">
        <w:trPr>
          <w:jc w:val="center"/>
        </w:trPr>
        <w:tc>
          <w:tcPr>
            <w:tcW w:w="9360" w:type="dxa"/>
            <w:tcBorders>
              <w:top w:val="single" w:sz="8" w:space="0" w:color="D0D5DD"/>
              <w:left w:val="single" w:sz="8" w:space="0" w:color="D0D5DD"/>
              <w:bottom w:val="single" w:sz="8" w:space="0" w:color="D0D5DD"/>
              <w:right w:val="single" w:sz="8" w:space="0" w:color="D0D5DD"/>
            </w:tcBorders>
            <w:shd w:val="clear" w:color="auto" w:fill="F4F5F7"/>
            <w:tcMar>
              <w:top w:w="120" w:type="dxa"/>
              <w:left w:w="180" w:type="dxa"/>
              <w:bottom w:w="120" w:type="dxa"/>
              <w:right w:w="180" w:type="dxa"/>
            </w:tcMar>
          </w:tcPr>
          <w:p w14:paraId="08CBBD95" w14:textId="77777777" w:rsidR="0037762E" w:rsidRDefault="00000000">
            <w:pPr>
              <w:spacing w:before="40" w:after="40"/>
            </w:pPr>
            <w:r>
              <w:rPr>
                <w:rFonts w:ascii="Consolas" w:hAnsi="Consolas"/>
                <w:color w:val="1E293B"/>
                <w:sz w:val="19"/>
              </w:rPr>
              <w:t>MATCH (d:Disease)</w:t>
            </w:r>
            <w:r>
              <w:rPr>
                <w:rFonts w:ascii="Consolas" w:hAnsi="Consolas"/>
                <w:color w:val="1E293B"/>
                <w:sz w:val="19"/>
              </w:rPr>
              <w:br/>
              <w:t>OPTIONAL MATCH (d)-[r1:PRESENTS_WITH]-&gt;(s:Symptom) WHERE s.name IN $symptoms</w:t>
            </w:r>
            <w:r>
              <w:rPr>
                <w:rFonts w:ascii="Consolas" w:hAnsi="Consolas"/>
                <w:color w:val="1E293B"/>
                <w:sz w:val="19"/>
              </w:rPr>
              <w:br/>
              <w:t>OPTIONAL MATCH (d)-[r2:CONFIRMED_BY]-&gt;(l:LabFinding) WHERE l.name IN $labs</w:t>
            </w:r>
            <w:r>
              <w:rPr>
                <w:rFonts w:ascii="Consolas" w:hAnsi="Consolas"/>
                <w:color w:val="1E293B"/>
                <w:sz w:val="19"/>
              </w:rPr>
              <w:br/>
              <w:t>WITH d,</w:t>
            </w:r>
            <w:r>
              <w:rPr>
                <w:rFonts w:ascii="Consolas" w:hAnsi="Consolas"/>
                <w:color w:val="1E293B"/>
                <w:sz w:val="19"/>
              </w:rPr>
              <w:br/>
              <w:t xml:space="preserve">     count(DISTINCT s) AS matched_symptoms_count,</w:t>
            </w:r>
            <w:r>
              <w:rPr>
                <w:rFonts w:ascii="Consolas" w:hAnsi="Consolas"/>
                <w:color w:val="1E293B"/>
                <w:sz w:val="19"/>
              </w:rPr>
              <w:br/>
              <w:t xml:space="preserve">     collect(DISTINCT s.name) AS matched_symptoms,</w:t>
            </w:r>
            <w:r>
              <w:rPr>
                <w:rFonts w:ascii="Consolas" w:hAnsi="Consolas"/>
                <w:color w:val="1E293B"/>
                <w:sz w:val="19"/>
              </w:rPr>
              <w:br/>
              <w:t xml:space="preserve">     count(DISTINCT l) AS matched_labs_count,</w:t>
            </w:r>
            <w:r>
              <w:rPr>
                <w:rFonts w:ascii="Consolas" w:hAnsi="Consolas"/>
                <w:color w:val="1E293B"/>
                <w:sz w:val="19"/>
              </w:rPr>
              <w:br/>
              <w:t xml:space="preserve">     collect(DISTINCT l.name) AS matched_labs,</w:t>
            </w:r>
            <w:r>
              <w:rPr>
                <w:rFonts w:ascii="Consolas" w:hAnsi="Consolas"/>
                <w:color w:val="1E293B"/>
                <w:sz w:val="19"/>
              </w:rPr>
              <w:br/>
              <w:t xml:space="preserve">     coalesce(sum(coalesce(r1.frequency, 0)), 0) + coalesce(sum(coalesce(r2.frequency, 0)), 0) AS total_evidence_weight</w:t>
            </w:r>
            <w:r>
              <w:rPr>
                <w:rFonts w:ascii="Consolas" w:hAnsi="Consolas"/>
                <w:color w:val="1E293B"/>
                <w:sz w:val="19"/>
              </w:rPr>
              <w:br/>
              <w:t>WHERE matched_symptoms_count &gt; 0 OR matched_labs_count &gt; 0</w:t>
            </w:r>
            <w:r>
              <w:rPr>
                <w:rFonts w:ascii="Consolas" w:hAnsi="Consolas"/>
                <w:color w:val="1E293B"/>
                <w:sz w:val="19"/>
              </w:rPr>
              <w:br/>
              <w:t>RETURN d.name AS disease, matched_symptoms, matched_labs, total_evidence_weight</w:t>
            </w:r>
            <w:r>
              <w:rPr>
                <w:rFonts w:ascii="Consolas" w:hAnsi="Consolas"/>
                <w:color w:val="1E293B"/>
                <w:sz w:val="19"/>
              </w:rPr>
              <w:br/>
              <w:t>ORDER BY matched_symptoms_count DESC, total_evidence_weight DESC</w:t>
            </w:r>
            <w:r>
              <w:rPr>
                <w:rFonts w:ascii="Consolas" w:hAnsi="Consolas"/>
                <w:color w:val="1E293B"/>
                <w:sz w:val="19"/>
              </w:rPr>
              <w:br/>
              <w:t>LIMIT $top_k</w:t>
            </w:r>
          </w:p>
        </w:tc>
      </w:tr>
    </w:tbl>
    <w:p w14:paraId="7D9930CC" w14:textId="77777777" w:rsidR="0037762E" w:rsidRDefault="0037762E">
      <w:pPr>
        <w:spacing w:after="80"/>
      </w:pPr>
    </w:p>
    <w:p w14:paraId="78F20D2C" w14:textId="77777777" w:rsidR="0037762E" w:rsidRDefault="00000000">
      <w:pPr>
        <w:pStyle w:val="Heading2"/>
      </w:pPr>
      <w:r>
        <w:t>2.3 Linearization &amp; MedGemma Diagnostic Inference</w:t>
      </w:r>
    </w:p>
    <w:p w14:paraId="78F055FB" w14:textId="77777777" w:rsidR="0037762E" w:rsidRDefault="00000000">
      <w:r>
        <w:t>The top-k retrieved disease candidates and their confirmatory paths are serialized into a clean Markdown evidence table:</w:t>
      </w:r>
      <w:r>
        <w:br/>
        <w:t>| Candidate Disease | Matched Symptoms | Key Confirmatory Labs | Evidence Weight |</w:t>
      </w:r>
      <w:r>
        <w:br/>
        <w:t>This table is injected directly into MedGemma-1.5 4B's prompt, constraining the model to output a strictly formatted JSON differential diagnosis (primary diagnosis, differential list, confidence scores, and evidence-grounded clinical rationale).</w:t>
      </w:r>
    </w:p>
    <w:p w14:paraId="371F67E9" w14:textId="77777777" w:rsidR="0037762E" w:rsidRDefault="00000000">
      <w:pPr>
        <w:pStyle w:val="Heading1"/>
        <w:spacing w:before="360" w:after="120"/>
      </w:pPr>
      <w:r>
        <w:t>3. Architecture II: Multimodal GraphRAG (MMGraphRAG)</w:t>
      </w:r>
    </w:p>
    <w:p w14:paraId="4AE21482" w14:textId="77777777" w:rsidR="0037762E" w:rsidRDefault="00000000">
      <w:r>
        <w:t>While Text GraphRAG performs well when clinical narratives are comprehensive, in tropical medicine many conditions share identical constitutional symptoms (e.g. fever, fatigue, weight loss). Definitive differential separation frequently resides in clinical imaging (e.g. CT cavitary patterns, endoscopy findings, microscopy egg morphology). MMGraphRAG incorporates visual observations directly into the knowledge graph structure.</w:t>
      </w:r>
    </w:p>
    <w:p w14:paraId="5E39A846" w14:textId="77777777" w:rsidR="0037762E" w:rsidRDefault="00000000">
      <w:pPr>
        <w:pStyle w:val="Heading2"/>
      </w:pPr>
      <w:r>
        <w:t>3.1 Multimodal Knowledge Graph Schema</w:t>
      </w:r>
    </w:p>
    <w:p w14:paraId="64F97898" w14:textId="77777777" w:rsidR="0037762E" w:rsidRDefault="00000000">
      <w:r>
        <w:t>MMGraphRAG extends the text graph by introducing multimodal nodes and cross-modal edges:</w:t>
      </w:r>
      <w:r>
        <w:br/>
        <w:t>• (:ImageNode) [5,905 nodes]: Represents diagnostic images, storing metadata, taxonomy (radiology, ct, endoscopy, histopathology), and archive paths.</w:t>
      </w:r>
      <w:r>
        <w:br/>
        <w:t>• (:VisualEntity) [31 nodes]: Represents fine-grained pathological visual concepts (e.g. cavitary lesion, perilesional edema, consolidation, giant cell).</w:t>
      </w:r>
      <w:r>
        <w:br/>
        <w:t>• Relationships:</w:t>
      </w:r>
      <w:r>
        <w:br/>
        <w:t xml:space="preserve">  - (:CaseReport)-[:CONTAINS_IMAGE]-&gt;(:ImageNode) [5,905 edges]</w:t>
      </w:r>
      <w:r>
        <w:br/>
      </w:r>
      <w:r>
        <w:lastRenderedPageBreak/>
        <w:t xml:space="preserve">  - (:ImageNode)-[:OBSERVES]-&gt;(:VisualEntity) [591 edges]</w:t>
      </w:r>
      <w:r>
        <w:br/>
        <w:t xml:space="preserve">  - (:Disease)-[:EVIDENCED_BY]-&gt;(:VisualEntity) [111 edges]</w:t>
      </w:r>
      <w:r>
        <w:br/>
        <w:t xml:space="preserve">  - (:VisualEntity)-[:ALIGNED_WITH]-&gt;(:LabFinding / :Symptom) [8 edges, generated via SpecLink CMEL]</w:t>
      </w:r>
    </w:p>
    <w:p w14:paraId="51944006" w14:textId="77777777" w:rsidR="0037762E" w:rsidRDefault="00000000">
      <w:pPr>
        <w:pStyle w:val="Heading2"/>
      </w:pPr>
      <w:r>
        <w:t>3.2 On-Demand Image Streaming via Image2GraphExtractor</w:t>
      </w:r>
    </w:p>
    <w:p w14:paraId="3F691A18" w14:textId="77777777" w:rsidR="0037762E" w:rsidRDefault="00000000">
      <w:r>
        <w:t>MultiCaRe clinical images are stored inside compressed archives (`multicare/PMC1.zip` to `PMC9.zip`). Rather than decompressing hundreds of gigabytes onto disk, `Image2GraphExtractor` streams individual WebP/PNG image byte buffers on-demand using Python's `zipfile`, extracting visual entities, anatomical regions, and modalities dynamically.</w:t>
      </w:r>
    </w:p>
    <w:p w14:paraId="3E1AE47C" w14:textId="77777777" w:rsidR="0037762E" w:rsidRDefault="00000000">
      <w:pPr>
        <w:pStyle w:val="Heading2"/>
      </w:pPr>
      <w:r>
        <w:t>3.3 SpecLink: Spectral Graph Clustering &amp; Cross-Modal Entity Linking</w:t>
      </w:r>
    </w:p>
    <w:p w14:paraId="28BC33C1" w14:textId="77777777" w:rsidR="0037762E" w:rsidRDefault="00000000">
      <w:r>
        <w:t>To connect visual entities to the knowledge graph, we implement the SpecLink algorithm from Wan &amp; Yu (July 2026):</w:t>
      </w:r>
      <w:r>
        <w:br/>
      </w:r>
      <w:r>
        <w:br/>
        <w:t>1. Affinity Matrix Construction: Given n proposed visual entities {v_1, ..., v_n}, we compute an affinity matrix A in R^{n x n}:</w:t>
      </w:r>
      <w:r>
        <w:br/>
        <w:t xml:space="preserve">   A[p, q] = cosine_similarity(embed(v_p), embed(v_q)) * weight(relation_{p,q})</w:t>
      </w:r>
      <w:r>
        <w:br/>
      </w:r>
      <w:r>
        <w:br/>
        <w:t>2. Unnormalized Graph Laplacian: With diagonal degree matrix D_{pp} = sum_q A_{pq}, the Laplacian is defined as:</w:t>
      </w:r>
      <w:r>
        <w:br/>
        <w:t xml:space="preserve">   L = D - A</w:t>
      </w:r>
      <w:r>
        <w:br/>
      </w:r>
      <w:r>
        <w:br/>
        <w:t>3. Spectral Coordinate Projection: Solving for eigenvalues 0 = lambda_1 &lt;= ... &lt;= lambda_n, we project each visual entity into an m-dimensional spectral manifold using eigenvectors corresponding to the m smallest non-trivial eigenvalues, where:</w:t>
      </w:r>
      <w:r>
        <w:br/>
        <w:t xml:space="preserve">   m = max(2, ceil(sqrt(n)))</w:t>
      </w:r>
      <w:r>
        <w:br/>
        <w:t xml:space="preserve">   z_p = [u_1(p), u_2(p), ..., u_m(p)] in R^m</w:t>
      </w:r>
      <w:r>
        <w:br/>
      </w:r>
      <w:r>
        <w:br/>
        <w:t>4. DBSCAN Clustering &amp; CMEL: Visual entities sharing latent clinical pathology cluster tightly in spectral space. DBSCAN (eps=0.5, min_samples=1) groups synonymous visual features, which are then linked to target text entities via the [:ALIGNED_WITH] edge.</w:t>
      </w:r>
    </w:p>
    <w:p w14:paraId="571A2A42" w14:textId="77777777" w:rsidR="0037762E" w:rsidRDefault="00000000">
      <w:pPr>
        <w:pStyle w:val="Heading2"/>
      </w:pPr>
      <w:r>
        <w:t>3.4 Multimodal Retrieval &amp; Evidence Injection</w:t>
      </w:r>
    </w:p>
    <w:p w14:paraId="21D41A31" w14:textId="77777777" w:rsidR="0037762E" w:rsidRDefault="00000000">
      <w:r>
        <w:t>`MMGraphRetriever` executes cross-modal queries combining patient symptoms, laboratory findings, and detected visual entities. It outputs a rich multimodal evidence table:</w:t>
      </w:r>
      <w:r>
        <w:br/>
        <w:t>| Candidate Disease | Matched Symptoms | Key Confirmatory Labs | Visual Pathology Findings | Modality | Evidence Weight |</w:t>
      </w:r>
      <w:r>
        <w:br/>
        <w:t>This table is provided alongside the patient narrative and image summaries to MedGemma-1.5, allowing the model to ground its differential ranking simultaneously on clinical text and radiological/histopathological evidence.</w:t>
      </w:r>
    </w:p>
    <w:p w14:paraId="60FD9913" w14:textId="77777777" w:rsidR="0037762E" w:rsidRDefault="00000000">
      <w:pPr>
        <w:pStyle w:val="Heading1"/>
        <w:spacing w:before="360" w:after="120"/>
      </w:pPr>
      <w:r>
        <w:lastRenderedPageBreak/>
        <w:t>4. Side-by-Side Comparison: GraphRAG vs. MMGraphRAG</w:t>
      </w:r>
    </w:p>
    <w:p w14:paraId="7BE64E7B" w14:textId="77777777" w:rsidR="0037762E" w:rsidRDefault="00000000">
      <w:r>
        <w:t>To assist teammates in understanding when and why to use each system, the table below highlights the architectural differences:</w:t>
      </w:r>
    </w:p>
    <w:tbl>
      <w:tblPr>
        <w:tblW w:w="0" w:type="auto"/>
        <w:jc w:val="center"/>
        <w:tblLayout w:type="fixed"/>
        <w:tblLook w:val="04A0" w:firstRow="1" w:lastRow="0" w:firstColumn="1" w:lastColumn="0" w:noHBand="0" w:noVBand="1"/>
      </w:tblPr>
      <w:tblGrid>
        <w:gridCol w:w="3120"/>
        <w:gridCol w:w="3384"/>
        <w:gridCol w:w="3384"/>
      </w:tblGrid>
      <w:tr w:rsidR="0037762E" w14:paraId="697E0A06" w14:textId="77777777">
        <w:trPr>
          <w:jc w:val="center"/>
        </w:trPr>
        <w:tc>
          <w:tcPr>
            <w:tcW w:w="3120" w:type="dxa"/>
            <w:shd w:val="clear" w:color="auto" w:fill="0F172A"/>
          </w:tcPr>
          <w:p w14:paraId="4D5DCA0E" w14:textId="77777777" w:rsidR="0037762E" w:rsidRDefault="00000000">
            <w:r>
              <w:rPr>
                <w:rFonts w:ascii="Calibri" w:hAnsi="Calibri"/>
                <w:b/>
                <w:color w:val="FFFFFF"/>
                <w:sz w:val="20"/>
              </w:rPr>
              <w:t>Architectural Dimension</w:t>
            </w:r>
          </w:p>
        </w:tc>
        <w:tc>
          <w:tcPr>
            <w:tcW w:w="3120" w:type="dxa"/>
            <w:shd w:val="clear" w:color="auto" w:fill="0F172A"/>
          </w:tcPr>
          <w:p w14:paraId="221D6137" w14:textId="77777777" w:rsidR="0037762E" w:rsidRDefault="00000000">
            <w:r>
              <w:rPr>
                <w:rFonts w:ascii="Calibri" w:hAnsi="Calibri"/>
                <w:b/>
                <w:color w:val="FFFFFF"/>
                <w:sz w:val="20"/>
              </w:rPr>
              <w:t>Text GraphRAG (src/graphrag/)</w:t>
            </w:r>
          </w:p>
        </w:tc>
        <w:tc>
          <w:tcPr>
            <w:tcW w:w="3120" w:type="dxa"/>
            <w:shd w:val="clear" w:color="auto" w:fill="0F172A"/>
          </w:tcPr>
          <w:p w14:paraId="5C27448F" w14:textId="77777777" w:rsidR="0037762E" w:rsidRDefault="00000000">
            <w:r>
              <w:rPr>
                <w:rFonts w:ascii="Calibri" w:hAnsi="Calibri"/>
                <w:b/>
                <w:color w:val="FFFFFF"/>
                <w:sz w:val="20"/>
              </w:rPr>
              <w:t>Multimodal MMGraphRAG (src/mmgraphrag/)</w:t>
            </w:r>
          </w:p>
        </w:tc>
      </w:tr>
      <w:tr w:rsidR="0037762E" w14:paraId="2A1CFCB9" w14:textId="77777777">
        <w:trPr>
          <w:jc w:val="center"/>
        </w:trPr>
        <w:tc>
          <w:tcPr>
            <w:tcW w:w="2592" w:type="dxa"/>
            <w:shd w:val="clear" w:color="auto" w:fill="F8FAFC"/>
          </w:tcPr>
          <w:p w14:paraId="23536D7C" w14:textId="77777777" w:rsidR="0037762E" w:rsidRDefault="00000000">
            <w:pPr>
              <w:spacing w:before="60" w:after="60"/>
            </w:pPr>
            <w:r>
              <w:rPr>
                <w:rFonts w:ascii="Calibri" w:hAnsi="Calibri"/>
                <w:b/>
                <w:color w:val="0F172A"/>
                <w:sz w:val="19"/>
              </w:rPr>
              <w:t>Input Modalities</w:t>
            </w:r>
          </w:p>
        </w:tc>
        <w:tc>
          <w:tcPr>
            <w:tcW w:w="3384" w:type="dxa"/>
            <w:shd w:val="clear" w:color="auto" w:fill="F8FAFC"/>
          </w:tcPr>
          <w:p w14:paraId="529BF7B3" w14:textId="77777777" w:rsidR="0037762E" w:rsidRDefault="00000000">
            <w:pPr>
              <w:spacing w:before="60" w:after="60"/>
            </w:pPr>
            <w:r>
              <w:rPr>
                <w:rFonts w:ascii="Calibri" w:hAnsi="Calibri"/>
                <w:color w:val="334155"/>
                <w:sz w:val="19"/>
              </w:rPr>
              <w:t>Clinical text only (patient age, gender, narrative history, symptoms, labs).</w:t>
            </w:r>
          </w:p>
        </w:tc>
        <w:tc>
          <w:tcPr>
            <w:tcW w:w="3384" w:type="dxa"/>
            <w:shd w:val="clear" w:color="auto" w:fill="F8FAFC"/>
          </w:tcPr>
          <w:p w14:paraId="447A7D12" w14:textId="77777777" w:rsidR="0037762E" w:rsidRDefault="00000000">
            <w:pPr>
              <w:spacing w:before="60" w:after="60"/>
            </w:pPr>
            <w:r>
              <w:rPr>
                <w:rFonts w:ascii="Calibri" w:hAnsi="Calibri"/>
                <w:color w:val="334155"/>
                <w:sz w:val="19"/>
              </w:rPr>
              <w:t>Multimodal (clinical text narrative + diagnostic imagery from CT, pathology, endoscopy).</w:t>
            </w:r>
          </w:p>
        </w:tc>
      </w:tr>
      <w:tr w:rsidR="0037762E" w14:paraId="26E51C34" w14:textId="77777777">
        <w:trPr>
          <w:jc w:val="center"/>
        </w:trPr>
        <w:tc>
          <w:tcPr>
            <w:tcW w:w="2592" w:type="dxa"/>
            <w:shd w:val="clear" w:color="auto" w:fill="FFFFFF"/>
          </w:tcPr>
          <w:p w14:paraId="35180F3D" w14:textId="77777777" w:rsidR="0037762E" w:rsidRDefault="00000000">
            <w:pPr>
              <w:spacing w:before="60" w:after="60"/>
            </w:pPr>
            <w:r>
              <w:rPr>
                <w:rFonts w:ascii="Calibri" w:hAnsi="Calibri"/>
                <w:b/>
                <w:color w:val="0F172A"/>
                <w:sz w:val="19"/>
              </w:rPr>
              <w:t>Knowledge Graph Schema</w:t>
            </w:r>
          </w:p>
        </w:tc>
        <w:tc>
          <w:tcPr>
            <w:tcW w:w="3384" w:type="dxa"/>
            <w:shd w:val="clear" w:color="auto" w:fill="FFFFFF"/>
          </w:tcPr>
          <w:p w14:paraId="770D5C51" w14:textId="77777777" w:rsidR="0037762E" w:rsidRDefault="00000000">
            <w:pPr>
              <w:spacing w:before="60" w:after="60"/>
            </w:pPr>
            <w:r>
              <w:rPr>
                <w:rFonts w:ascii="Calibri" w:hAnsi="Calibri"/>
                <w:color w:val="334155"/>
                <w:sz w:val="19"/>
              </w:rPr>
              <w:t>3 node types (:Disease, :Symptom, :LabFinding) connected by :PRESENTS_WITH and :CONFIRMED_BY.</w:t>
            </w:r>
          </w:p>
        </w:tc>
        <w:tc>
          <w:tcPr>
            <w:tcW w:w="3384" w:type="dxa"/>
            <w:shd w:val="clear" w:color="auto" w:fill="FFFFFF"/>
          </w:tcPr>
          <w:p w14:paraId="569B825D" w14:textId="77777777" w:rsidR="0037762E" w:rsidRDefault="00000000">
            <w:pPr>
              <w:spacing w:before="60" w:after="60"/>
            </w:pPr>
            <w:r>
              <w:rPr>
                <w:rFonts w:ascii="Calibri" w:hAnsi="Calibri"/>
                <w:color w:val="334155"/>
                <w:sz w:val="19"/>
              </w:rPr>
              <w:t>5 node types (adding :VisualEntity, :ImageNode) connected by :EVIDENCED_BY, :OBSERVES, and :ALIGNED_WITH.</w:t>
            </w:r>
          </w:p>
        </w:tc>
      </w:tr>
      <w:tr w:rsidR="0037762E" w14:paraId="47D5955A" w14:textId="77777777">
        <w:trPr>
          <w:jc w:val="center"/>
        </w:trPr>
        <w:tc>
          <w:tcPr>
            <w:tcW w:w="2592" w:type="dxa"/>
            <w:shd w:val="clear" w:color="auto" w:fill="F8FAFC"/>
          </w:tcPr>
          <w:p w14:paraId="3E77B861" w14:textId="77777777" w:rsidR="0037762E" w:rsidRDefault="00000000">
            <w:pPr>
              <w:spacing w:before="60" w:after="60"/>
            </w:pPr>
            <w:r>
              <w:rPr>
                <w:rFonts w:ascii="Calibri" w:hAnsi="Calibri"/>
                <w:b/>
                <w:color w:val="0F172A"/>
                <w:sz w:val="19"/>
              </w:rPr>
              <w:t>Entity Linking Mechanism</w:t>
            </w:r>
          </w:p>
        </w:tc>
        <w:tc>
          <w:tcPr>
            <w:tcW w:w="3384" w:type="dxa"/>
            <w:shd w:val="clear" w:color="auto" w:fill="F8FAFC"/>
          </w:tcPr>
          <w:p w14:paraId="11E931A4" w14:textId="77777777" w:rsidR="0037762E" w:rsidRDefault="00000000">
            <w:pPr>
              <w:spacing w:before="60" w:after="60"/>
            </w:pPr>
            <w:r>
              <w:rPr>
                <w:rFonts w:ascii="Calibri" w:hAnsi="Calibri"/>
                <w:color w:val="334155"/>
                <w:sz w:val="19"/>
              </w:rPr>
              <w:t>Direct text matching of symptom and laboratory mentions against canonical graph nodes.</w:t>
            </w:r>
          </w:p>
        </w:tc>
        <w:tc>
          <w:tcPr>
            <w:tcW w:w="3384" w:type="dxa"/>
            <w:shd w:val="clear" w:color="auto" w:fill="F8FAFC"/>
          </w:tcPr>
          <w:p w14:paraId="3A22103C" w14:textId="77777777" w:rsidR="0037762E" w:rsidRDefault="00000000">
            <w:pPr>
              <w:spacing w:before="60" w:after="60"/>
            </w:pPr>
            <w:r>
              <w:rPr>
                <w:rFonts w:ascii="Calibri" w:hAnsi="Calibri"/>
                <w:color w:val="334155"/>
                <w:sz w:val="19"/>
              </w:rPr>
              <w:t>SpecLink: Graph Laplacian spectral embedding + DBSCAN clustering + Cross-Modal Entity Linking (CMEL).</w:t>
            </w:r>
          </w:p>
        </w:tc>
      </w:tr>
      <w:tr w:rsidR="0037762E" w14:paraId="78C779BC" w14:textId="77777777">
        <w:trPr>
          <w:jc w:val="center"/>
        </w:trPr>
        <w:tc>
          <w:tcPr>
            <w:tcW w:w="2592" w:type="dxa"/>
            <w:shd w:val="clear" w:color="auto" w:fill="FFFFFF"/>
          </w:tcPr>
          <w:p w14:paraId="67CF8971" w14:textId="77777777" w:rsidR="0037762E" w:rsidRDefault="00000000">
            <w:pPr>
              <w:spacing w:before="60" w:after="60"/>
            </w:pPr>
            <w:r>
              <w:rPr>
                <w:rFonts w:ascii="Calibri" w:hAnsi="Calibri"/>
                <w:b/>
                <w:color w:val="0F172A"/>
                <w:sz w:val="19"/>
              </w:rPr>
              <w:t>Image Handling</w:t>
            </w:r>
          </w:p>
        </w:tc>
        <w:tc>
          <w:tcPr>
            <w:tcW w:w="3384" w:type="dxa"/>
            <w:shd w:val="clear" w:color="auto" w:fill="FFFFFF"/>
          </w:tcPr>
          <w:p w14:paraId="1FD89589" w14:textId="77777777" w:rsidR="0037762E" w:rsidRDefault="00000000">
            <w:pPr>
              <w:spacing w:before="60" w:after="60"/>
            </w:pPr>
            <w:r>
              <w:rPr>
                <w:rFonts w:ascii="Calibri" w:hAnsi="Calibri"/>
                <w:color w:val="334155"/>
                <w:sz w:val="19"/>
              </w:rPr>
              <w:t>Ignores patient diagnostic images entirely.</w:t>
            </w:r>
          </w:p>
        </w:tc>
        <w:tc>
          <w:tcPr>
            <w:tcW w:w="3384" w:type="dxa"/>
            <w:shd w:val="clear" w:color="auto" w:fill="FFFFFF"/>
          </w:tcPr>
          <w:p w14:paraId="52ED684F" w14:textId="77777777" w:rsidR="0037762E" w:rsidRDefault="00000000">
            <w:pPr>
              <w:spacing w:before="60" w:after="60"/>
            </w:pPr>
            <w:r>
              <w:rPr>
                <w:rFonts w:ascii="Calibri" w:hAnsi="Calibri"/>
                <w:color w:val="334155"/>
                <w:sz w:val="19"/>
              </w:rPr>
              <w:t>Streams WebP/PNG images on-demand from ZIP files via Image2GraphExtractor.</w:t>
            </w:r>
          </w:p>
        </w:tc>
      </w:tr>
      <w:tr w:rsidR="0037762E" w14:paraId="09878733" w14:textId="77777777">
        <w:trPr>
          <w:jc w:val="center"/>
        </w:trPr>
        <w:tc>
          <w:tcPr>
            <w:tcW w:w="2592" w:type="dxa"/>
            <w:shd w:val="clear" w:color="auto" w:fill="F8FAFC"/>
          </w:tcPr>
          <w:p w14:paraId="179615BD" w14:textId="77777777" w:rsidR="0037762E" w:rsidRDefault="00000000">
            <w:pPr>
              <w:spacing w:before="60" w:after="60"/>
            </w:pPr>
            <w:r>
              <w:rPr>
                <w:rFonts w:ascii="Calibri" w:hAnsi="Calibri"/>
                <w:b/>
                <w:color w:val="0F172A"/>
                <w:sz w:val="19"/>
              </w:rPr>
              <w:t>Retrieved Context Format</w:t>
            </w:r>
          </w:p>
        </w:tc>
        <w:tc>
          <w:tcPr>
            <w:tcW w:w="3384" w:type="dxa"/>
            <w:shd w:val="clear" w:color="auto" w:fill="F8FAFC"/>
          </w:tcPr>
          <w:p w14:paraId="73CCB19F" w14:textId="77777777" w:rsidR="0037762E" w:rsidRDefault="00000000">
            <w:pPr>
              <w:spacing w:before="60" w:after="60"/>
            </w:pPr>
            <w:r>
              <w:rPr>
                <w:rFonts w:ascii="Calibri" w:hAnsi="Calibri"/>
                <w:color w:val="334155"/>
                <w:sz w:val="19"/>
              </w:rPr>
              <w:t>Linearized table of candidate diseases, matched symptoms, and confirmatory lab tests.</w:t>
            </w:r>
          </w:p>
        </w:tc>
        <w:tc>
          <w:tcPr>
            <w:tcW w:w="3384" w:type="dxa"/>
            <w:shd w:val="clear" w:color="auto" w:fill="F8FAFC"/>
          </w:tcPr>
          <w:p w14:paraId="0EC72949" w14:textId="77777777" w:rsidR="0037762E" w:rsidRDefault="00000000">
            <w:pPr>
              <w:spacing w:before="60" w:after="60"/>
            </w:pPr>
            <w:r>
              <w:rPr>
                <w:rFonts w:ascii="Calibri" w:hAnsi="Calibri"/>
                <w:color w:val="334155"/>
                <w:sz w:val="19"/>
              </w:rPr>
              <w:t>Linearized table combining symptoms, labs, visual entities, and imaging modalities.</w:t>
            </w:r>
          </w:p>
        </w:tc>
      </w:tr>
      <w:tr w:rsidR="0037762E" w14:paraId="58658F06" w14:textId="77777777">
        <w:trPr>
          <w:jc w:val="center"/>
        </w:trPr>
        <w:tc>
          <w:tcPr>
            <w:tcW w:w="2592" w:type="dxa"/>
            <w:shd w:val="clear" w:color="auto" w:fill="FFFFFF"/>
          </w:tcPr>
          <w:p w14:paraId="2F5A736A" w14:textId="77777777" w:rsidR="0037762E" w:rsidRDefault="00000000">
            <w:pPr>
              <w:spacing w:before="60" w:after="60"/>
            </w:pPr>
            <w:r>
              <w:rPr>
                <w:rFonts w:ascii="Calibri" w:hAnsi="Calibri"/>
                <w:b/>
                <w:color w:val="0F172A"/>
                <w:sz w:val="19"/>
              </w:rPr>
              <w:t>Performance Profile</w:t>
            </w:r>
          </w:p>
        </w:tc>
        <w:tc>
          <w:tcPr>
            <w:tcW w:w="3384" w:type="dxa"/>
            <w:shd w:val="clear" w:color="auto" w:fill="FFFFFF"/>
          </w:tcPr>
          <w:p w14:paraId="3C0A72B7" w14:textId="77777777" w:rsidR="0037762E" w:rsidRDefault="00000000">
            <w:pPr>
              <w:spacing w:before="60" w:after="60"/>
            </w:pPr>
            <w:r>
              <w:rPr>
                <w:rFonts w:ascii="Calibri" w:hAnsi="Calibri"/>
                <w:color w:val="334155"/>
                <w:sz w:val="19"/>
              </w:rPr>
              <w:t>Fastest execution, zero image overhead; best for clear symptomatic presentations.</w:t>
            </w:r>
          </w:p>
        </w:tc>
        <w:tc>
          <w:tcPr>
            <w:tcW w:w="3384" w:type="dxa"/>
            <w:shd w:val="clear" w:color="auto" w:fill="FFFFFF"/>
          </w:tcPr>
          <w:p w14:paraId="77DF9BB6" w14:textId="77777777" w:rsidR="0037762E" w:rsidRDefault="00000000">
            <w:pPr>
              <w:spacing w:before="60" w:after="60"/>
            </w:pPr>
            <w:r>
              <w:rPr>
                <w:rFonts w:ascii="Calibri" w:hAnsi="Calibri"/>
                <w:color w:val="334155"/>
                <w:sz w:val="19"/>
              </w:rPr>
              <w:t>Superior differential resolution for visually definitive diseases (e.g. Tuberculosis cavitary lesions).</w:t>
            </w:r>
          </w:p>
        </w:tc>
      </w:tr>
    </w:tbl>
    <w:p w14:paraId="4B2CC766" w14:textId="77777777" w:rsidR="0037762E" w:rsidRDefault="0037762E"/>
    <w:p w14:paraId="0FEA7551" w14:textId="77777777" w:rsidR="0037762E" w:rsidRDefault="00000000">
      <w:pPr>
        <w:pStyle w:val="Heading1"/>
        <w:spacing w:before="360" w:after="120"/>
      </w:pPr>
      <w:r>
        <w:t>5. Autonomous Clinical Evaluation Framework (5 Core Metrics)</w:t>
      </w:r>
    </w:p>
    <w:p w14:paraId="30A34F10" w14:textId="77777777" w:rsidR="0037762E" w:rsidRDefault="00000000">
      <w:r>
        <w:t>To evaluate diagnostic performance across all 1,339 withheld test cases without human annotator bias, we constructed an autonomous evaluation harness (`src/evaluation/clinical_metrics.py`). The framework evaluates strictly against 5 core metrics:</w:t>
      </w:r>
    </w:p>
    <w:tbl>
      <w:tblPr>
        <w:tblW w:w="0" w:type="auto"/>
        <w:jc w:val="center"/>
        <w:tblLayout w:type="fixed"/>
        <w:tblLook w:val="04A0" w:firstRow="1" w:lastRow="0" w:firstColumn="1" w:lastColumn="0" w:noHBand="0" w:noVBand="1"/>
      </w:tblPr>
      <w:tblGrid>
        <w:gridCol w:w="3120"/>
        <w:gridCol w:w="4032"/>
        <w:gridCol w:w="3168"/>
      </w:tblGrid>
      <w:tr w:rsidR="0037762E" w14:paraId="1849BDC0" w14:textId="77777777">
        <w:trPr>
          <w:jc w:val="center"/>
        </w:trPr>
        <w:tc>
          <w:tcPr>
            <w:tcW w:w="3120" w:type="dxa"/>
            <w:shd w:val="clear" w:color="auto" w:fill="1E293B"/>
          </w:tcPr>
          <w:p w14:paraId="041CD9DB" w14:textId="77777777" w:rsidR="0037762E" w:rsidRDefault="00000000">
            <w:r>
              <w:rPr>
                <w:rFonts w:ascii="Calibri" w:hAnsi="Calibri"/>
                <w:b/>
                <w:color w:val="FFFFFF"/>
                <w:sz w:val="20"/>
              </w:rPr>
              <w:t>Metric Name</w:t>
            </w:r>
          </w:p>
        </w:tc>
        <w:tc>
          <w:tcPr>
            <w:tcW w:w="3120" w:type="dxa"/>
            <w:shd w:val="clear" w:color="auto" w:fill="1E293B"/>
          </w:tcPr>
          <w:p w14:paraId="61DE4D25" w14:textId="77777777" w:rsidR="0037762E" w:rsidRDefault="00000000">
            <w:r>
              <w:rPr>
                <w:rFonts w:ascii="Calibri" w:hAnsi="Calibri"/>
                <w:b/>
                <w:color w:val="FFFFFF"/>
                <w:sz w:val="20"/>
              </w:rPr>
              <w:t>Mathematical / Algorithmic Definition</w:t>
            </w:r>
          </w:p>
        </w:tc>
        <w:tc>
          <w:tcPr>
            <w:tcW w:w="3120" w:type="dxa"/>
            <w:shd w:val="clear" w:color="auto" w:fill="1E293B"/>
          </w:tcPr>
          <w:p w14:paraId="28427330" w14:textId="77777777" w:rsidR="0037762E" w:rsidRDefault="00000000">
            <w:r>
              <w:rPr>
                <w:rFonts w:ascii="Calibri" w:hAnsi="Calibri"/>
                <w:b/>
                <w:color w:val="FFFFFF"/>
                <w:sz w:val="20"/>
              </w:rPr>
              <w:t>Clinical Role &amp; Target</w:t>
            </w:r>
          </w:p>
        </w:tc>
      </w:tr>
      <w:tr w:rsidR="0037762E" w14:paraId="246D088F" w14:textId="77777777">
        <w:trPr>
          <w:jc w:val="center"/>
        </w:trPr>
        <w:tc>
          <w:tcPr>
            <w:tcW w:w="2160" w:type="dxa"/>
            <w:shd w:val="clear" w:color="auto" w:fill="F8FAFC"/>
          </w:tcPr>
          <w:p w14:paraId="600122E6" w14:textId="77777777" w:rsidR="0037762E" w:rsidRDefault="00000000">
            <w:pPr>
              <w:spacing w:before="60" w:after="60"/>
            </w:pPr>
            <w:r>
              <w:rPr>
                <w:rFonts w:ascii="Calibri" w:hAnsi="Calibri"/>
                <w:b/>
                <w:color w:val="0F172A"/>
                <w:sz w:val="19"/>
              </w:rPr>
              <w:t>n</w:t>
            </w:r>
          </w:p>
        </w:tc>
        <w:tc>
          <w:tcPr>
            <w:tcW w:w="4032" w:type="dxa"/>
            <w:shd w:val="clear" w:color="auto" w:fill="F8FAFC"/>
          </w:tcPr>
          <w:p w14:paraId="26A4BB95" w14:textId="77777777" w:rsidR="0037762E" w:rsidRDefault="00000000">
            <w:pPr>
              <w:spacing w:before="60" w:after="60"/>
            </w:pPr>
            <w:r>
              <w:rPr>
                <w:rFonts w:ascii="Calibri" w:hAnsi="Calibri"/>
                <w:color w:val="334155"/>
                <w:sz w:val="19"/>
              </w:rPr>
              <w:t>Total number of evaluated cases (n = |D_test|).</w:t>
            </w:r>
          </w:p>
        </w:tc>
        <w:tc>
          <w:tcPr>
            <w:tcW w:w="3168" w:type="dxa"/>
            <w:shd w:val="clear" w:color="auto" w:fill="F8FAFC"/>
          </w:tcPr>
          <w:p w14:paraId="18BCF76E" w14:textId="77777777" w:rsidR="0037762E" w:rsidRDefault="00000000">
            <w:pPr>
              <w:spacing w:before="60" w:after="60"/>
            </w:pPr>
            <w:r>
              <w:rPr>
                <w:rFonts w:ascii="Calibri" w:hAnsi="Calibri"/>
                <w:color w:val="334155"/>
                <w:sz w:val="19"/>
              </w:rPr>
              <w:t>Sample size verification (n=50 for quick trials, n=1,339 for complete benchmark).</w:t>
            </w:r>
          </w:p>
        </w:tc>
      </w:tr>
      <w:tr w:rsidR="0037762E" w14:paraId="1E24F679" w14:textId="77777777">
        <w:trPr>
          <w:jc w:val="center"/>
        </w:trPr>
        <w:tc>
          <w:tcPr>
            <w:tcW w:w="2160" w:type="dxa"/>
            <w:shd w:val="clear" w:color="auto" w:fill="FFFFFF"/>
          </w:tcPr>
          <w:p w14:paraId="05EE2860" w14:textId="77777777" w:rsidR="0037762E" w:rsidRDefault="00000000">
            <w:pPr>
              <w:spacing w:before="60" w:after="60"/>
            </w:pPr>
            <w:r>
              <w:rPr>
                <w:rFonts w:ascii="Calibri" w:hAnsi="Calibri"/>
                <w:b/>
                <w:color w:val="0F172A"/>
                <w:sz w:val="19"/>
              </w:rPr>
              <w:t>k</w:t>
            </w:r>
          </w:p>
        </w:tc>
        <w:tc>
          <w:tcPr>
            <w:tcW w:w="4032" w:type="dxa"/>
            <w:shd w:val="clear" w:color="auto" w:fill="FFFFFF"/>
          </w:tcPr>
          <w:p w14:paraId="1C8F96DC" w14:textId="77777777" w:rsidR="0037762E" w:rsidRDefault="00000000">
            <w:pPr>
              <w:spacing w:before="60" w:after="60"/>
            </w:pPr>
            <w:r>
              <w:rPr>
                <w:rFonts w:ascii="Calibri" w:hAnsi="Calibri"/>
                <w:color w:val="334155"/>
                <w:sz w:val="19"/>
              </w:rPr>
              <w:t>Differential ranking cutoff threshold (evaluated at k=3 and k=5).</w:t>
            </w:r>
          </w:p>
        </w:tc>
        <w:tc>
          <w:tcPr>
            <w:tcW w:w="3168" w:type="dxa"/>
            <w:shd w:val="clear" w:color="auto" w:fill="FFFFFF"/>
          </w:tcPr>
          <w:p w14:paraId="4B9B414D" w14:textId="77777777" w:rsidR="0037762E" w:rsidRDefault="00000000">
            <w:pPr>
              <w:spacing w:before="60" w:after="60"/>
            </w:pPr>
            <w:r>
              <w:rPr>
                <w:rFonts w:ascii="Calibri" w:hAnsi="Calibri"/>
                <w:color w:val="334155"/>
                <w:sz w:val="19"/>
              </w:rPr>
              <w:t>Represents the working differential diagnosis list evaluated by a physician.</w:t>
            </w:r>
          </w:p>
        </w:tc>
      </w:tr>
      <w:tr w:rsidR="0037762E" w14:paraId="0F298F98" w14:textId="77777777">
        <w:trPr>
          <w:jc w:val="center"/>
        </w:trPr>
        <w:tc>
          <w:tcPr>
            <w:tcW w:w="2160" w:type="dxa"/>
            <w:shd w:val="clear" w:color="auto" w:fill="F8FAFC"/>
          </w:tcPr>
          <w:p w14:paraId="0B104F16" w14:textId="77777777" w:rsidR="0037762E" w:rsidRDefault="00000000">
            <w:pPr>
              <w:spacing w:before="60" w:after="60"/>
            </w:pPr>
            <w:r>
              <w:rPr>
                <w:rFonts w:ascii="Calibri" w:hAnsi="Calibri"/>
                <w:b/>
                <w:color w:val="0F172A"/>
                <w:sz w:val="19"/>
              </w:rPr>
              <w:t>Recall@k</w:t>
            </w:r>
          </w:p>
        </w:tc>
        <w:tc>
          <w:tcPr>
            <w:tcW w:w="4032" w:type="dxa"/>
            <w:shd w:val="clear" w:color="auto" w:fill="F8FAFC"/>
          </w:tcPr>
          <w:p w14:paraId="0BB6AB47" w14:textId="77777777" w:rsidR="0037762E" w:rsidRDefault="00000000">
            <w:pPr>
              <w:spacing w:before="60" w:after="60"/>
            </w:pPr>
            <w:r>
              <w:rPr>
                <w:rFonts w:ascii="Calibri" w:hAnsi="Calibri"/>
                <w:color w:val="334155"/>
                <w:sz w:val="19"/>
              </w:rPr>
              <w:t xml:space="preserve">Fraction of cases where the true diagnosis appears within the top-k predicted differential </w:t>
            </w:r>
            <w:r>
              <w:rPr>
                <w:rFonts w:ascii="Calibri" w:hAnsi="Calibri"/>
                <w:color w:val="334155"/>
                <w:sz w:val="19"/>
              </w:rPr>
              <w:lastRenderedPageBreak/>
              <w:t>list.</w:t>
            </w:r>
          </w:p>
        </w:tc>
        <w:tc>
          <w:tcPr>
            <w:tcW w:w="3168" w:type="dxa"/>
            <w:shd w:val="clear" w:color="auto" w:fill="F8FAFC"/>
          </w:tcPr>
          <w:p w14:paraId="79D583AD" w14:textId="77777777" w:rsidR="0037762E" w:rsidRDefault="00000000">
            <w:pPr>
              <w:spacing w:before="60" w:after="60"/>
            </w:pPr>
            <w:r>
              <w:rPr>
                <w:rFonts w:ascii="Calibri" w:hAnsi="Calibri"/>
                <w:color w:val="334155"/>
                <w:sz w:val="19"/>
              </w:rPr>
              <w:lastRenderedPageBreak/>
              <w:t xml:space="preserve">Measures diagnostic safety. Critical in medicine: the true disease must not </w:t>
            </w:r>
            <w:r>
              <w:rPr>
                <w:rFonts w:ascii="Calibri" w:hAnsi="Calibri"/>
                <w:color w:val="334155"/>
                <w:sz w:val="19"/>
              </w:rPr>
              <w:lastRenderedPageBreak/>
              <w:t>be omitted from the differential.</w:t>
            </w:r>
          </w:p>
        </w:tc>
      </w:tr>
      <w:tr w:rsidR="0037762E" w14:paraId="75883756" w14:textId="77777777">
        <w:trPr>
          <w:jc w:val="center"/>
        </w:trPr>
        <w:tc>
          <w:tcPr>
            <w:tcW w:w="2160" w:type="dxa"/>
            <w:shd w:val="clear" w:color="auto" w:fill="FFFFFF"/>
          </w:tcPr>
          <w:p w14:paraId="4876648E" w14:textId="77777777" w:rsidR="0037762E" w:rsidRDefault="00000000">
            <w:pPr>
              <w:spacing w:before="60" w:after="60"/>
            </w:pPr>
            <w:r>
              <w:rPr>
                <w:rFonts w:ascii="Calibri" w:hAnsi="Calibri"/>
                <w:b/>
                <w:color w:val="0F172A"/>
                <w:sz w:val="19"/>
              </w:rPr>
              <w:lastRenderedPageBreak/>
              <w:t>Top-1 Accuracy</w:t>
            </w:r>
          </w:p>
        </w:tc>
        <w:tc>
          <w:tcPr>
            <w:tcW w:w="4032" w:type="dxa"/>
            <w:shd w:val="clear" w:color="auto" w:fill="FFFFFF"/>
          </w:tcPr>
          <w:p w14:paraId="00FC671E" w14:textId="77777777" w:rsidR="0037762E" w:rsidRDefault="00000000">
            <w:pPr>
              <w:spacing w:before="60" w:after="60"/>
            </w:pPr>
            <w:r>
              <w:rPr>
                <w:rFonts w:ascii="Calibri" w:hAnsi="Calibri"/>
                <w:color w:val="334155"/>
                <w:sz w:val="19"/>
              </w:rPr>
              <w:t>Fraction of cases where the primary diagnosis exactly matches the gold-truth diagnosis.</w:t>
            </w:r>
          </w:p>
        </w:tc>
        <w:tc>
          <w:tcPr>
            <w:tcW w:w="3168" w:type="dxa"/>
            <w:shd w:val="clear" w:color="auto" w:fill="FFFFFF"/>
          </w:tcPr>
          <w:p w14:paraId="6E0CA0F8" w14:textId="77777777" w:rsidR="0037762E" w:rsidRDefault="00000000">
            <w:pPr>
              <w:spacing w:before="60" w:after="60"/>
            </w:pPr>
            <w:r>
              <w:rPr>
                <w:rFonts w:ascii="Calibri" w:hAnsi="Calibri"/>
                <w:color w:val="334155"/>
                <w:sz w:val="19"/>
              </w:rPr>
              <w:t>Measures exact primary diagnostic precision (aliased to Top-L Accuracy).</w:t>
            </w:r>
          </w:p>
        </w:tc>
      </w:tr>
      <w:tr w:rsidR="0037762E" w14:paraId="57375B81" w14:textId="77777777">
        <w:trPr>
          <w:jc w:val="center"/>
        </w:trPr>
        <w:tc>
          <w:tcPr>
            <w:tcW w:w="2160" w:type="dxa"/>
            <w:shd w:val="clear" w:color="auto" w:fill="F8FAFC"/>
          </w:tcPr>
          <w:p w14:paraId="05BFE38B" w14:textId="77777777" w:rsidR="0037762E" w:rsidRDefault="00000000">
            <w:pPr>
              <w:spacing w:before="60" w:after="60"/>
            </w:pPr>
            <w:r>
              <w:rPr>
                <w:rFonts w:ascii="Calibri" w:hAnsi="Calibri"/>
                <w:b/>
                <w:color w:val="0F172A"/>
                <w:sz w:val="19"/>
              </w:rPr>
              <w:t>MRR@k</w:t>
            </w:r>
          </w:p>
        </w:tc>
        <w:tc>
          <w:tcPr>
            <w:tcW w:w="4032" w:type="dxa"/>
            <w:shd w:val="clear" w:color="auto" w:fill="F8FAFC"/>
          </w:tcPr>
          <w:p w14:paraId="2D89045E" w14:textId="77777777" w:rsidR="0037762E" w:rsidRDefault="00000000">
            <w:pPr>
              <w:spacing w:before="60" w:after="60"/>
            </w:pPr>
            <w:r>
              <w:rPr>
                <w:rFonts w:ascii="Calibri" w:hAnsi="Calibri"/>
                <w:color w:val="334155"/>
                <w:sz w:val="19"/>
              </w:rPr>
              <w:t>Mean Reciprocal Rank: average of (1 / Rank_i) for the true diagnosis within top-k.</w:t>
            </w:r>
          </w:p>
        </w:tc>
        <w:tc>
          <w:tcPr>
            <w:tcW w:w="3168" w:type="dxa"/>
            <w:shd w:val="clear" w:color="auto" w:fill="F8FAFC"/>
          </w:tcPr>
          <w:p w14:paraId="7C795ED0" w14:textId="77777777" w:rsidR="0037762E" w:rsidRDefault="00000000">
            <w:pPr>
              <w:spacing w:before="60" w:after="60"/>
            </w:pPr>
            <w:r>
              <w:rPr>
                <w:rFonts w:ascii="Calibri" w:hAnsi="Calibri"/>
                <w:color w:val="334155"/>
                <w:sz w:val="19"/>
              </w:rPr>
              <w:t>Measures differential quality by heavily rewarding systems that rank the correct disease at Rank 1 or 2.</w:t>
            </w:r>
          </w:p>
        </w:tc>
      </w:tr>
    </w:tbl>
    <w:p w14:paraId="01BE4D24" w14:textId="77777777" w:rsidR="0037762E" w:rsidRDefault="0037762E"/>
    <w:p w14:paraId="7CA2196B" w14:textId="77777777" w:rsidR="0037762E" w:rsidRDefault="00000000">
      <w:pPr>
        <w:pStyle w:val="Heading1"/>
        <w:spacing w:before="360" w:after="120"/>
      </w:pPr>
      <w:r>
        <w:t>6. Structured Codebase Blueprint &amp; Directory Tree</w:t>
      </w:r>
    </w:p>
    <w:p w14:paraId="71B618AE" w14:textId="77777777" w:rsidR="0037762E" w:rsidRDefault="00000000">
      <w:r>
        <w:t>The codebase maintains strict boundaries separating Text GraphRAG, Multimodal GraphRAG, the data pipeline, and evaluation. Teammates developing LightRAG or VisualRAG can import modules without cross-contamination:</w:t>
      </w:r>
    </w:p>
    <w:tbl>
      <w:tblPr>
        <w:tblW w:w="0" w:type="auto"/>
        <w:jc w:val="center"/>
        <w:tblLayout w:type="fixed"/>
        <w:tblLook w:val="04A0" w:firstRow="1" w:lastRow="0" w:firstColumn="1" w:lastColumn="0" w:noHBand="0" w:noVBand="1"/>
      </w:tblPr>
      <w:tblGrid>
        <w:gridCol w:w="9360"/>
      </w:tblGrid>
      <w:tr w:rsidR="0037762E" w14:paraId="60D7E109" w14:textId="77777777">
        <w:trPr>
          <w:jc w:val="center"/>
        </w:trPr>
        <w:tc>
          <w:tcPr>
            <w:tcW w:w="9360" w:type="dxa"/>
            <w:tcBorders>
              <w:top w:val="single" w:sz="8" w:space="0" w:color="D0D5DD"/>
              <w:left w:val="single" w:sz="8" w:space="0" w:color="D0D5DD"/>
              <w:bottom w:val="single" w:sz="8" w:space="0" w:color="D0D5DD"/>
              <w:right w:val="single" w:sz="8" w:space="0" w:color="D0D5DD"/>
            </w:tcBorders>
            <w:shd w:val="clear" w:color="auto" w:fill="F4F5F7"/>
            <w:tcMar>
              <w:top w:w="120" w:type="dxa"/>
              <w:left w:w="180" w:type="dxa"/>
              <w:bottom w:w="120" w:type="dxa"/>
              <w:right w:w="180" w:type="dxa"/>
            </w:tcMar>
          </w:tcPr>
          <w:p w14:paraId="71DDB0E3" w14:textId="77777777" w:rsidR="0037762E" w:rsidRDefault="00000000">
            <w:pPr>
              <w:spacing w:before="40" w:after="40"/>
            </w:pPr>
            <w:r>
              <w:rPr>
                <w:rFonts w:ascii="Consolas" w:hAnsi="Consolas"/>
                <w:color w:val="1E293B"/>
                <w:sz w:val="19"/>
              </w:rPr>
              <w:t>HealthCareAgent/</w:t>
            </w:r>
            <w:r>
              <w:rPr>
                <w:rFonts w:ascii="Consolas" w:hAnsi="Consolas"/>
                <w:color w:val="1E293B"/>
                <w:sz w:val="19"/>
              </w:rPr>
              <w:br/>
              <w:t>│</w:t>
            </w:r>
            <w:r>
              <w:rPr>
                <w:rFonts w:ascii="Consolas" w:hAnsi="Consolas"/>
                <w:color w:val="1E293B"/>
                <w:sz w:val="19"/>
              </w:rPr>
              <w:br/>
              <w:t>├── data/                              # Curated MultiCaRe dataset splits</w:t>
            </w:r>
            <w:r>
              <w:rPr>
                <w:rFonts w:ascii="Consolas" w:hAnsi="Consolas"/>
                <w:color w:val="1E293B"/>
                <w:sz w:val="19"/>
              </w:rPr>
              <w:br/>
              <w:t>│   ├── train_cases.jsonl              # 5,355 multimodal training cases</w:t>
            </w:r>
            <w:r>
              <w:rPr>
                <w:rFonts w:ascii="Consolas" w:hAnsi="Consolas"/>
                <w:color w:val="1E293B"/>
                <w:sz w:val="19"/>
              </w:rPr>
              <w:br/>
              <w:t>│   └── test_cases.jsonl               # 1,339 withheld evaluation cases (ground_truth_dx)</w:t>
            </w:r>
            <w:r>
              <w:rPr>
                <w:rFonts w:ascii="Consolas" w:hAnsi="Consolas"/>
                <w:color w:val="1E293B"/>
                <w:sz w:val="19"/>
              </w:rPr>
              <w:br/>
              <w:t>│</w:t>
            </w:r>
            <w:r>
              <w:rPr>
                <w:rFonts w:ascii="Consolas" w:hAnsi="Consolas"/>
                <w:color w:val="1E293B"/>
                <w:sz w:val="19"/>
              </w:rPr>
              <w:br/>
              <w:t>├── multicare/                         # Raw image archives (streamed on-demand)</w:t>
            </w:r>
            <w:r>
              <w:rPr>
                <w:rFonts w:ascii="Consolas" w:hAnsi="Consolas"/>
                <w:color w:val="1E293B"/>
                <w:sz w:val="19"/>
              </w:rPr>
              <w:br/>
              <w:t>│   ├── PMC1.zip ... PMC9.zip          # Clinical pathology, CT, microscopy images</w:t>
            </w:r>
            <w:r>
              <w:rPr>
                <w:rFonts w:ascii="Consolas" w:hAnsi="Consolas"/>
                <w:color w:val="1E293B"/>
                <w:sz w:val="19"/>
              </w:rPr>
              <w:br/>
              <w:t>│</w:t>
            </w:r>
            <w:r>
              <w:rPr>
                <w:rFonts w:ascii="Consolas" w:hAnsi="Consolas"/>
                <w:color w:val="1E293B"/>
                <w:sz w:val="19"/>
              </w:rPr>
              <w:br/>
              <w:t>├── src/</w:t>
            </w:r>
            <w:r>
              <w:rPr>
                <w:rFonts w:ascii="Consolas" w:hAnsi="Consolas"/>
                <w:color w:val="1E293B"/>
                <w:sz w:val="19"/>
              </w:rPr>
              <w:br/>
              <w:t>│   ├── data_pipeline/</w:t>
            </w:r>
            <w:r>
              <w:rPr>
                <w:rFonts w:ascii="Consolas" w:hAnsi="Consolas"/>
                <w:color w:val="1E293B"/>
                <w:sz w:val="19"/>
              </w:rPr>
              <w:br/>
              <w:t>│   │   ├── __init__.py</w:t>
            </w:r>
            <w:r>
              <w:rPr>
                <w:rFonts w:ascii="Consolas" w:hAnsi="Consolas"/>
                <w:color w:val="1E293B"/>
                <w:sz w:val="19"/>
              </w:rPr>
              <w:br/>
              <w:t>│   │   └── payload_parser.py          # Extracts clinical text, image metadata, taxonomy</w:t>
            </w:r>
            <w:r>
              <w:rPr>
                <w:rFonts w:ascii="Consolas" w:hAnsi="Consolas"/>
                <w:color w:val="1E293B"/>
                <w:sz w:val="19"/>
              </w:rPr>
              <w:br/>
              <w:t>│   │</w:t>
            </w:r>
            <w:r>
              <w:rPr>
                <w:rFonts w:ascii="Consolas" w:hAnsi="Consolas"/>
                <w:color w:val="1E293B"/>
                <w:sz w:val="19"/>
              </w:rPr>
              <w:br/>
              <w:t>│   ├── graph/</w:t>
            </w:r>
            <w:r>
              <w:rPr>
                <w:rFonts w:ascii="Consolas" w:hAnsi="Consolas"/>
                <w:color w:val="1E293B"/>
                <w:sz w:val="19"/>
              </w:rPr>
              <w:br/>
              <w:t>│   │   ├── __init__.py</w:t>
            </w:r>
            <w:r>
              <w:rPr>
                <w:rFonts w:ascii="Consolas" w:hAnsi="Consolas"/>
                <w:color w:val="1E293B"/>
                <w:sz w:val="19"/>
              </w:rPr>
              <w:br/>
              <w:t>│   │   └── neo4j_client.py            # Thread-safe Neo4j driver with DBMS notification filtering</w:t>
            </w:r>
            <w:r>
              <w:rPr>
                <w:rFonts w:ascii="Consolas" w:hAnsi="Consolas"/>
                <w:color w:val="1E293B"/>
                <w:sz w:val="19"/>
              </w:rPr>
              <w:br/>
              <w:t>│   │</w:t>
            </w:r>
            <w:r>
              <w:rPr>
                <w:rFonts w:ascii="Consolas" w:hAnsi="Consolas"/>
                <w:color w:val="1E293B"/>
                <w:sz w:val="19"/>
              </w:rPr>
              <w:br/>
              <w:t>│   ├── models/</w:t>
            </w:r>
            <w:r>
              <w:rPr>
                <w:rFonts w:ascii="Consolas" w:hAnsi="Consolas"/>
                <w:color w:val="1E293B"/>
                <w:sz w:val="19"/>
              </w:rPr>
              <w:br/>
              <w:t>│   │   ├── __init__.py</w:t>
            </w:r>
            <w:r>
              <w:rPr>
                <w:rFonts w:ascii="Consolas" w:hAnsi="Consolas"/>
                <w:color w:val="1E293B"/>
                <w:sz w:val="19"/>
              </w:rPr>
              <w:br/>
              <w:t>│   │   └── medgemma_loader.py         # MedGemma 1.5 4B loader (4-bit NF4 local / BF16 remote)</w:t>
            </w:r>
            <w:r>
              <w:rPr>
                <w:rFonts w:ascii="Consolas" w:hAnsi="Consolas"/>
                <w:color w:val="1E293B"/>
                <w:sz w:val="19"/>
              </w:rPr>
              <w:br/>
              <w:t>│   │</w:t>
            </w:r>
            <w:r>
              <w:rPr>
                <w:rFonts w:ascii="Consolas" w:hAnsi="Consolas"/>
                <w:color w:val="1E293B"/>
                <w:sz w:val="19"/>
              </w:rPr>
              <w:br/>
              <w:t>│   ├── graphrag/                      # [PART I] ISOLATED TEXT-ONLY GRAPHRAG</w:t>
            </w:r>
            <w:r>
              <w:rPr>
                <w:rFonts w:ascii="Consolas" w:hAnsi="Consolas"/>
                <w:color w:val="1E293B"/>
                <w:sz w:val="19"/>
              </w:rPr>
              <w:br/>
              <w:t>│   │   ├── __init__.py</w:t>
            </w:r>
            <w:r>
              <w:rPr>
                <w:rFonts w:ascii="Consolas" w:hAnsi="Consolas"/>
                <w:color w:val="1E293B"/>
                <w:sz w:val="19"/>
              </w:rPr>
              <w:br/>
              <w:t>│   │   ├── graph_retriever.py         # Cypher disease-symptom-lab subgraph retriever</w:t>
            </w:r>
            <w:r>
              <w:rPr>
                <w:rFonts w:ascii="Consolas" w:hAnsi="Consolas"/>
                <w:color w:val="1E293B"/>
                <w:sz w:val="19"/>
              </w:rPr>
              <w:br/>
              <w:t>│   │   └── graph_rag_engine.py        # Text GraphRAG clinical reasoning engine</w:t>
            </w:r>
            <w:r>
              <w:rPr>
                <w:rFonts w:ascii="Consolas" w:hAnsi="Consolas"/>
                <w:color w:val="1E293B"/>
                <w:sz w:val="19"/>
              </w:rPr>
              <w:br/>
              <w:t>│   │</w:t>
            </w:r>
            <w:r>
              <w:rPr>
                <w:rFonts w:ascii="Consolas" w:hAnsi="Consolas"/>
                <w:color w:val="1E293B"/>
                <w:sz w:val="19"/>
              </w:rPr>
              <w:br/>
              <w:t>│   ├── mmgraphrag/                    # [PART II] MULTIMODAL GRAPHRAG (MMGraphRAG)</w:t>
            </w:r>
            <w:r>
              <w:rPr>
                <w:rFonts w:ascii="Consolas" w:hAnsi="Consolas"/>
                <w:color w:val="1E293B"/>
                <w:sz w:val="19"/>
              </w:rPr>
              <w:br/>
              <w:t>│   │   ├── __init__.py</w:t>
            </w:r>
            <w:r>
              <w:rPr>
                <w:rFonts w:ascii="Consolas" w:hAnsi="Consolas"/>
                <w:color w:val="1E293B"/>
                <w:sz w:val="19"/>
              </w:rPr>
              <w:br/>
            </w:r>
            <w:r>
              <w:rPr>
                <w:rFonts w:ascii="Consolas" w:hAnsi="Consolas"/>
                <w:color w:val="1E293B"/>
                <w:sz w:val="19"/>
              </w:rPr>
              <w:lastRenderedPageBreak/>
              <w:t>│   │   ├── image2graph.py             # Scene graph extraction from images streamed via ZIP</w:t>
            </w:r>
            <w:r>
              <w:rPr>
                <w:rFonts w:ascii="Consolas" w:hAnsi="Consolas"/>
                <w:color w:val="1E293B"/>
                <w:sz w:val="19"/>
              </w:rPr>
              <w:br/>
              <w:t>│   │   ├── speclink.py                # SpecLink spectral clustering &amp; cross-modal entity linking</w:t>
            </w:r>
            <w:r>
              <w:rPr>
                <w:rFonts w:ascii="Consolas" w:hAnsi="Consolas"/>
                <w:color w:val="1E293B"/>
                <w:sz w:val="19"/>
              </w:rPr>
              <w:br/>
              <w:t>│   │   ├── mm_kg_builder.py           # Ingestion pipeline for :VisualEntity &amp; :ImageNode</w:t>
            </w:r>
            <w:r>
              <w:rPr>
                <w:rFonts w:ascii="Consolas" w:hAnsi="Consolas"/>
                <w:color w:val="1E293B"/>
                <w:sz w:val="19"/>
              </w:rPr>
              <w:br/>
              <w:t>│   │   ├── mm_graph_retriever.py      # Cross-modal graph retriever combining text &amp; visual nodes</w:t>
            </w:r>
            <w:r>
              <w:rPr>
                <w:rFonts w:ascii="Consolas" w:hAnsi="Consolas"/>
                <w:color w:val="1E293B"/>
                <w:sz w:val="19"/>
              </w:rPr>
              <w:br/>
              <w:t>│   │   └── mm_graph_rag_engine.py     # Multimodal diagnostic reasoning engine</w:t>
            </w:r>
            <w:r>
              <w:rPr>
                <w:rFonts w:ascii="Consolas" w:hAnsi="Consolas"/>
                <w:color w:val="1E293B"/>
                <w:sz w:val="19"/>
              </w:rPr>
              <w:br/>
              <w:t>│   │</w:t>
            </w:r>
            <w:r>
              <w:rPr>
                <w:rFonts w:ascii="Consolas" w:hAnsi="Consolas"/>
                <w:color w:val="1E293B"/>
                <w:sz w:val="19"/>
              </w:rPr>
              <w:br/>
              <w:t>│   ├── evaluation/</w:t>
            </w:r>
            <w:r>
              <w:rPr>
                <w:rFonts w:ascii="Consolas" w:hAnsi="Consolas"/>
                <w:color w:val="1E293B"/>
                <w:sz w:val="19"/>
              </w:rPr>
              <w:br/>
              <w:t>│   │   ├── __init__.py</w:t>
            </w:r>
            <w:r>
              <w:rPr>
                <w:rFonts w:ascii="Consolas" w:hAnsi="Consolas"/>
                <w:color w:val="1E293B"/>
                <w:sz w:val="19"/>
              </w:rPr>
              <w:br/>
              <w:t>│   │   ├── clinical_metrics.py        # 5 core metrics calculation &amp; Markdown export</w:t>
            </w:r>
            <w:r>
              <w:rPr>
                <w:rFonts w:ascii="Consolas" w:hAnsi="Consolas"/>
                <w:color w:val="1E293B"/>
                <w:sz w:val="19"/>
              </w:rPr>
              <w:br/>
              <w:t>│   │   └── run_eval.py                # CLI runner (--mode graphrag | mmgraphrag | compare)</w:t>
            </w:r>
            <w:r>
              <w:rPr>
                <w:rFonts w:ascii="Consolas" w:hAnsi="Consolas"/>
                <w:color w:val="1E293B"/>
                <w:sz w:val="19"/>
              </w:rPr>
              <w:br/>
              <w:t>│   │</w:t>
            </w:r>
            <w:r>
              <w:rPr>
                <w:rFonts w:ascii="Consolas" w:hAnsi="Consolas"/>
                <w:color w:val="1E293B"/>
                <w:sz w:val="19"/>
              </w:rPr>
              <w:br/>
              <w:t>│   └── rag/                           # Backward-compatible alias pointing to src.graphrag</w:t>
            </w:r>
            <w:r>
              <w:rPr>
                <w:rFonts w:ascii="Consolas" w:hAnsi="Consolas"/>
                <w:color w:val="1E293B"/>
                <w:sz w:val="19"/>
              </w:rPr>
              <w:br/>
              <w:t>│       └── __init__.py</w:t>
            </w:r>
            <w:r>
              <w:rPr>
                <w:rFonts w:ascii="Consolas" w:hAnsi="Consolas"/>
                <w:color w:val="1E293B"/>
                <w:sz w:val="19"/>
              </w:rPr>
              <w:br/>
              <w:t>│</w:t>
            </w:r>
            <w:r>
              <w:rPr>
                <w:rFonts w:ascii="Consolas" w:hAnsi="Consolas"/>
                <w:color w:val="1E293B"/>
                <w:sz w:val="19"/>
              </w:rPr>
              <w:br/>
              <w:t>├── tests/</w:t>
            </w:r>
            <w:r>
              <w:rPr>
                <w:rFonts w:ascii="Consolas" w:hAnsi="Consolas"/>
                <w:color w:val="1E293B"/>
                <w:sz w:val="19"/>
              </w:rPr>
              <w:br/>
              <w:t>│   ├── smoke_test_pipeline.py         # Pipeline verification under mock conditions</w:t>
            </w:r>
            <w:r>
              <w:rPr>
                <w:rFonts w:ascii="Consolas" w:hAnsi="Consolas"/>
                <w:color w:val="1E293B"/>
                <w:sz w:val="19"/>
              </w:rPr>
              <w:br/>
              <w:t>│   └── test_mmgraphrag.py             # Unit tests for Image2Graph, SpecLink, and MMGraphRAG</w:t>
            </w:r>
            <w:r>
              <w:rPr>
                <w:rFonts w:ascii="Consolas" w:hAnsi="Consolas"/>
                <w:color w:val="1E293B"/>
                <w:sz w:val="19"/>
              </w:rPr>
              <w:br/>
              <w:t>│</w:t>
            </w:r>
            <w:r>
              <w:rPr>
                <w:rFonts w:ascii="Consolas" w:hAnsi="Consolas"/>
                <w:color w:val="1E293B"/>
                <w:sz w:val="19"/>
              </w:rPr>
              <w:br/>
              <w:t>└── output/                            # Generated reports &amp; documents</w:t>
            </w:r>
            <w:r>
              <w:rPr>
                <w:rFonts w:ascii="Consolas" w:hAnsi="Consolas"/>
                <w:color w:val="1E293B"/>
                <w:sz w:val="19"/>
              </w:rPr>
              <w:br/>
              <w:t xml:space="preserve">    ├── MedGemma_GraphRAG_MMGraphRAG_Technical_Report.docx  # Exported Word Report</w:t>
            </w:r>
            <w:r>
              <w:rPr>
                <w:rFonts w:ascii="Consolas" w:hAnsi="Consolas"/>
                <w:color w:val="1E293B"/>
                <w:sz w:val="19"/>
              </w:rPr>
              <w:br/>
              <w:t xml:space="preserve">    ├── graphrag_benchmark_report.md   # Text GraphRAG results</w:t>
            </w:r>
            <w:r>
              <w:rPr>
                <w:rFonts w:ascii="Consolas" w:hAnsi="Consolas"/>
                <w:color w:val="1E293B"/>
                <w:sz w:val="19"/>
              </w:rPr>
              <w:br/>
              <w:t xml:space="preserve">    ├── mmgraphrag_benchmark_report.md # MMGraphRAG results</w:t>
            </w:r>
            <w:r>
              <w:rPr>
                <w:rFonts w:ascii="Consolas" w:hAnsi="Consolas"/>
                <w:color w:val="1E293B"/>
                <w:sz w:val="19"/>
              </w:rPr>
              <w:br/>
              <w:t xml:space="preserve">    └── graphrag_vs_mmgraphrag_report.md # Head-to-head comparison</w:t>
            </w:r>
            <w:r>
              <w:rPr>
                <w:rFonts w:ascii="Consolas" w:hAnsi="Consolas"/>
                <w:color w:val="1E293B"/>
                <w:sz w:val="19"/>
              </w:rPr>
              <w:br/>
            </w:r>
          </w:p>
        </w:tc>
      </w:tr>
    </w:tbl>
    <w:p w14:paraId="54E0F7C0" w14:textId="77777777" w:rsidR="0037762E" w:rsidRDefault="0037762E">
      <w:pPr>
        <w:spacing w:after="80"/>
      </w:pPr>
    </w:p>
    <w:sectPr w:rsidR="0037762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6484963">
    <w:abstractNumId w:val="8"/>
  </w:num>
  <w:num w:numId="2" w16cid:durableId="2066292573">
    <w:abstractNumId w:val="6"/>
  </w:num>
  <w:num w:numId="3" w16cid:durableId="930897997">
    <w:abstractNumId w:val="5"/>
  </w:num>
  <w:num w:numId="4" w16cid:durableId="1820538712">
    <w:abstractNumId w:val="4"/>
  </w:num>
  <w:num w:numId="5" w16cid:durableId="2041205573">
    <w:abstractNumId w:val="7"/>
  </w:num>
  <w:num w:numId="6" w16cid:durableId="1405375997">
    <w:abstractNumId w:val="3"/>
  </w:num>
  <w:num w:numId="7" w16cid:durableId="152181240">
    <w:abstractNumId w:val="2"/>
  </w:num>
  <w:num w:numId="8" w16cid:durableId="1271819369">
    <w:abstractNumId w:val="1"/>
  </w:num>
  <w:num w:numId="9" w16cid:durableId="1833252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762E"/>
    <w:rsid w:val="005F3085"/>
    <w:rsid w:val="008B0DC6"/>
    <w:rsid w:val="00AA1D8D"/>
    <w:rsid w:val="00B47730"/>
    <w:rsid w:val="00CB0664"/>
    <w:rsid w:val="00DB0E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B1CABC"/>
  <w14:defaultImageDpi w14:val="300"/>
  <w15:docId w15:val="{D63C5C78-93D9-4C58-9318-34EFD2F23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Pages>
  <Words>1875</Words>
  <Characters>10692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Khoi Minh</cp:lastModifiedBy>
  <cp:revision>3</cp:revision>
  <dcterms:created xsi:type="dcterms:W3CDTF">2013-12-23T23:15:00Z</dcterms:created>
  <dcterms:modified xsi:type="dcterms:W3CDTF">2026-09-28T16:13:00Z</dcterms:modified>
  <cp:category/>
</cp:coreProperties>
</file>