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3916" w14:textId="77777777" w:rsidR="00830C1B" w:rsidRDefault="004B0357">
      <w:pPr>
        <w:jc w:val="center"/>
      </w:pPr>
      <w:r>
        <w:rPr>
          <w:rFonts w:ascii="Microsoft YaHei" w:hAnsi="Microsoft YaHei"/>
          <w:b/>
          <w:sz w:val="56"/>
        </w:rPr>
        <w:t>01951_quarterly_chip_report</w:t>
      </w:r>
    </w:p>
    <w:p w14:paraId="1181CC13" w14:textId="77777777" w:rsidR="00830C1B" w:rsidRDefault="004B0357">
      <w:r>
        <w:br w:type="page"/>
      </w:r>
    </w:p>
    <w:p w14:paraId="3B7EA887" w14:textId="77777777" w:rsidR="00830C1B" w:rsidRPr="00112C76" w:rsidRDefault="004B0357" w:rsidP="00112C76">
      <w:pPr>
        <w:pStyle w:val="TOCHeading"/>
        <w:jc w:val="center"/>
        <w:rPr>
          <w:rFonts w:ascii="Microsoft YaHei" w:hAnsi="Microsoft YaHei"/>
          <w:sz w:val="36"/>
        </w:rPr>
      </w:pPr>
      <w:r w:rsidRPr="00112C76">
        <w:rPr>
          <w:rFonts w:ascii="Microsoft YaHei" w:hAnsi="Microsoft YaHei" w:cs="Microsoft YaHei"/>
          <w:sz w:val="36"/>
        </w:rPr>
        <w:lastRenderedPageBreak/>
        <w:t>目录</w:t>
      </w:r>
    </w:p>
    <w:p w14:paraId="01231B93" w14:textId="7B51F12A" w:rsidR="00112C76" w:rsidRDefault="004B0357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759576" w:history="1">
        <w:r w:rsidR="00112C76" w:rsidRPr="00FA060E">
          <w:rPr>
            <w:rStyle w:val="Hyperlink"/>
            <w:rFonts w:ascii="Arial" w:hAnsi="Arial"/>
            <w:noProof/>
          </w:rPr>
          <w:t>锦鑫生殖（</w:t>
        </w:r>
        <w:r w:rsidR="00112C76" w:rsidRPr="00FA060E">
          <w:rPr>
            <w:rStyle w:val="Hyperlink"/>
            <w:rFonts w:ascii="Arial" w:hAnsi="Arial"/>
            <w:noProof/>
          </w:rPr>
          <w:t>01951</w:t>
        </w:r>
        <w:r w:rsidR="00112C76" w:rsidRPr="00FA060E">
          <w:rPr>
            <w:rStyle w:val="Hyperlink"/>
            <w:rFonts w:ascii="Arial" w:hAnsi="Arial"/>
            <w:noProof/>
          </w:rPr>
          <w:t>）</w:t>
        </w:r>
        <w:r w:rsidR="00112C76">
          <w:rPr>
            <w:noProof/>
            <w:webHidden/>
          </w:rPr>
          <w:tab/>
        </w:r>
        <w:r w:rsidR="00112C76">
          <w:rPr>
            <w:noProof/>
            <w:webHidden/>
          </w:rPr>
          <w:fldChar w:fldCharType="begin"/>
        </w:r>
        <w:r w:rsidR="00112C76">
          <w:rPr>
            <w:noProof/>
            <w:webHidden/>
          </w:rPr>
          <w:instrText xml:space="preserve"> PAGEREF _Toc237759576 \h </w:instrText>
        </w:r>
        <w:r w:rsidR="00112C76">
          <w:rPr>
            <w:noProof/>
            <w:webHidden/>
          </w:rPr>
        </w:r>
        <w:r w:rsidR="00112C76">
          <w:rPr>
            <w:noProof/>
            <w:webHidden/>
          </w:rPr>
          <w:fldChar w:fldCharType="separate"/>
        </w:r>
        <w:r w:rsidR="00112C76">
          <w:rPr>
            <w:noProof/>
            <w:webHidden/>
          </w:rPr>
          <w:t>3</w:t>
        </w:r>
        <w:r w:rsidR="00112C76">
          <w:rPr>
            <w:noProof/>
            <w:webHidden/>
          </w:rPr>
          <w:fldChar w:fldCharType="end"/>
        </w:r>
      </w:hyperlink>
    </w:p>
    <w:p w14:paraId="3AE57DE4" w14:textId="70A84B79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77" w:history="1">
        <w:r w:rsidRPr="00FA060E">
          <w:rPr>
            <w:rStyle w:val="Hyperlink"/>
            <w:rFonts w:ascii="Arial" w:hAnsi="Arial"/>
            <w:noProof/>
          </w:rPr>
          <w:t>季度筹码结构分析报告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1B631B" w14:textId="3DBC4A89" w:rsidR="00112C76" w:rsidRDefault="00112C76">
      <w:pPr>
        <w:pStyle w:val="TOC3"/>
        <w:tabs>
          <w:tab w:val="right" w:leader="dot" w:pos="9350"/>
        </w:tabs>
        <w:rPr>
          <w:noProof/>
        </w:rPr>
      </w:pPr>
      <w:hyperlink w:anchor="_Toc237759578" w:history="1">
        <w:r w:rsidRPr="00FA060E">
          <w:rPr>
            <w:rStyle w:val="Hyperlink"/>
            <w:rFonts w:ascii="Arial" w:hAnsi="Arial"/>
            <w:noProof/>
          </w:rPr>
          <w:t>2026/Q2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B5C87D" w14:textId="1A8D3B95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79" w:history="1">
        <w:r w:rsidRPr="00FA060E">
          <w:rPr>
            <w:rStyle w:val="Hyperlink"/>
            <w:rFonts w:ascii="Arial" w:hAnsi="Arial"/>
            <w:noProof/>
          </w:rPr>
          <w:t xml:space="preserve">1. </w:t>
        </w:r>
        <w:r w:rsidRPr="00FA060E">
          <w:rPr>
            <w:rStyle w:val="Hyperlink"/>
            <w:rFonts w:ascii="Arial" w:hAnsi="Arial"/>
            <w:noProof/>
          </w:rPr>
          <w:t>执行摘要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D960C3" w14:textId="4D2320ED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80" w:history="1">
        <w:r w:rsidRPr="00FA060E">
          <w:rPr>
            <w:rStyle w:val="Hyperlink"/>
            <w:rFonts w:ascii="Arial" w:hAnsi="Arial"/>
            <w:noProof/>
          </w:rPr>
          <w:t xml:space="preserve">2. </w:t>
        </w:r>
        <w:r w:rsidRPr="00FA060E">
          <w:rPr>
            <w:rStyle w:val="Hyperlink"/>
            <w:rFonts w:ascii="Arial" w:hAnsi="Arial"/>
            <w:noProof/>
          </w:rPr>
          <w:t>数据质量与分析边界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6214A0" w14:textId="0B7692D3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81" w:history="1">
        <w:r w:rsidRPr="00FA060E">
          <w:rPr>
            <w:rStyle w:val="Hyperlink"/>
            <w:rFonts w:ascii="Arial" w:hAnsi="Arial"/>
            <w:noProof/>
          </w:rPr>
          <w:t xml:space="preserve">3. </w:t>
        </w:r>
        <w:r w:rsidRPr="00FA060E">
          <w:rPr>
            <w:rStyle w:val="Hyperlink"/>
            <w:rFonts w:ascii="Arial" w:hAnsi="Arial"/>
            <w:noProof/>
          </w:rPr>
          <w:t>筹码存量状态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BDF44D" w14:textId="076AE1F5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82" w:history="1">
        <w:r w:rsidRPr="00FA060E">
          <w:rPr>
            <w:rStyle w:val="Hyperlink"/>
            <w:rFonts w:ascii="Arial" w:hAnsi="Arial"/>
            <w:noProof/>
          </w:rPr>
          <w:t xml:space="preserve">4. </w:t>
        </w:r>
        <w:r w:rsidRPr="00FA060E">
          <w:rPr>
            <w:rStyle w:val="Hyperlink"/>
            <w:rFonts w:ascii="Arial" w:hAnsi="Arial"/>
            <w:noProof/>
          </w:rPr>
          <w:t>机构参与度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51EDF6" w14:textId="698C05BC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83" w:history="1">
        <w:r w:rsidRPr="00FA060E">
          <w:rPr>
            <w:rStyle w:val="Hyperlink"/>
            <w:rFonts w:ascii="Arial" w:hAnsi="Arial"/>
            <w:noProof/>
          </w:rPr>
          <w:t xml:space="preserve">5. </w:t>
        </w:r>
        <w:r w:rsidRPr="00FA060E">
          <w:rPr>
            <w:rStyle w:val="Hyperlink"/>
            <w:rFonts w:ascii="Arial" w:hAnsi="Arial"/>
            <w:noProof/>
          </w:rPr>
          <w:t>持有人结构变化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22D4DA" w14:textId="0EAE2FA4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84" w:history="1">
        <w:r w:rsidRPr="00FA060E">
          <w:rPr>
            <w:rStyle w:val="Hyperlink"/>
            <w:rFonts w:ascii="Arial" w:hAnsi="Arial"/>
            <w:noProof/>
          </w:rPr>
          <w:t xml:space="preserve">6. </w:t>
        </w:r>
        <w:r w:rsidRPr="00FA060E">
          <w:rPr>
            <w:rStyle w:val="Hyperlink"/>
            <w:rFonts w:ascii="Arial" w:hAnsi="Arial"/>
            <w:noProof/>
          </w:rPr>
          <w:t>筹码集中</w:t>
        </w:r>
        <w:r w:rsidRPr="00FA060E">
          <w:rPr>
            <w:rStyle w:val="Hyperlink"/>
            <w:rFonts w:ascii="Arial" w:hAnsi="Arial"/>
            <w:noProof/>
          </w:rPr>
          <w:t>/</w:t>
        </w:r>
        <w:r w:rsidRPr="00FA060E">
          <w:rPr>
            <w:rStyle w:val="Hyperlink"/>
            <w:rFonts w:ascii="Arial" w:hAnsi="Arial"/>
            <w:noProof/>
          </w:rPr>
          <w:t>扩散分析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4C8AE9" w14:textId="32AA84F7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85" w:history="1">
        <w:r w:rsidRPr="00FA060E">
          <w:rPr>
            <w:rStyle w:val="Hyperlink"/>
            <w:rFonts w:ascii="Arial" w:hAnsi="Arial"/>
            <w:noProof/>
          </w:rPr>
          <w:t xml:space="preserve">7. </w:t>
        </w:r>
        <w:r w:rsidRPr="00FA060E">
          <w:rPr>
            <w:rStyle w:val="Hyperlink"/>
            <w:rFonts w:ascii="Arial" w:hAnsi="Arial"/>
            <w:noProof/>
          </w:rPr>
          <w:t>筹码</w:t>
        </w:r>
        <w:r w:rsidRPr="00FA060E">
          <w:rPr>
            <w:rStyle w:val="Hyperlink"/>
            <w:rFonts w:ascii="Arial" w:hAnsi="Arial"/>
            <w:noProof/>
          </w:rPr>
          <w:t>—</w:t>
        </w:r>
        <w:r w:rsidRPr="00FA060E">
          <w:rPr>
            <w:rStyle w:val="Hyperlink"/>
            <w:rFonts w:ascii="Arial" w:hAnsi="Arial"/>
            <w:noProof/>
          </w:rPr>
          <w:t>价格关系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79CCB6" w14:textId="05EB9330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86" w:history="1">
        <w:r w:rsidRPr="00FA060E">
          <w:rPr>
            <w:rStyle w:val="Hyperlink"/>
            <w:rFonts w:ascii="Arial" w:hAnsi="Arial"/>
            <w:noProof/>
          </w:rPr>
          <w:t xml:space="preserve">8. </w:t>
        </w:r>
        <w:r w:rsidRPr="00FA060E">
          <w:rPr>
            <w:rStyle w:val="Hyperlink"/>
            <w:rFonts w:ascii="Arial" w:hAnsi="Arial"/>
            <w:noProof/>
          </w:rPr>
          <w:t>历史周期复盘（近</w:t>
        </w:r>
        <w:r w:rsidRPr="00FA060E">
          <w:rPr>
            <w:rStyle w:val="Hyperlink"/>
            <w:rFonts w:ascii="Arial" w:hAnsi="Arial"/>
            <w:noProof/>
          </w:rPr>
          <w:t>12</w:t>
        </w:r>
        <w:r w:rsidRPr="00FA060E">
          <w:rPr>
            <w:rStyle w:val="Hyperlink"/>
            <w:rFonts w:ascii="Arial" w:hAnsi="Arial"/>
            <w:noProof/>
          </w:rPr>
          <w:t>个季度）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AF2135" w14:textId="2243B2C1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87" w:history="1">
        <w:r w:rsidRPr="00FA060E">
          <w:rPr>
            <w:rStyle w:val="Hyperlink"/>
            <w:rFonts w:ascii="Arial" w:hAnsi="Arial"/>
            <w:noProof/>
          </w:rPr>
          <w:t xml:space="preserve">9. </w:t>
        </w:r>
        <w:r w:rsidRPr="00FA060E">
          <w:rPr>
            <w:rStyle w:val="Hyperlink"/>
            <w:rFonts w:ascii="Arial" w:hAnsi="Arial"/>
            <w:noProof/>
          </w:rPr>
          <w:t>当前筹码状态（筹码周期状态机）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99C5D9" w14:textId="57642C67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88" w:history="1">
        <w:r w:rsidRPr="00FA060E">
          <w:rPr>
            <w:rStyle w:val="Hyperlink"/>
            <w:rFonts w:ascii="Arial" w:hAnsi="Arial"/>
            <w:noProof/>
          </w:rPr>
          <w:t xml:space="preserve">10. </w:t>
        </w:r>
        <w:r w:rsidRPr="00FA060E">
          <w:rPr>
            <w:rStyle w:val="Hyperlink"/>
            <w:rFonts w:ascii="Arial" w:hAnsi="Arial"/>
            <w:noProof/>
          </w:rPr>
          <w:t>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47D644" w14:textId="11A594FE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89" w:history="1">
        <w:r w:rsidRPr="00FA060E">
          <w:rPr>
            <w:rStyle w:val="Hyperlink"/>
            <w:rFonts w:ascii="Arial" w:hAnsi="Arial"/>
            <w:noProof/>
          </w:rPr>
          <w:t xml:space="preserve">11. QCFP </w:t>
        </w:r>
        <w:r w:rsidRPr="00FA060E">
          <w:rPr>
            <w:rStyle w:val="Hyperlink"/>
            <w:rFonts w:ascii="Arial" w:hAnsi="Arial"/>
            <w:noProof/>
          </w:rPr>
          <w:t>联合验证（筹码</w:t>
        </w:r>
        <w:r w:rsidRPr="00FA060E">
          <w:rPr>
            <w:rStyle w:val="Hyperlink"/>
            <w:rFonts w:ascii="Arial" w:hAnsi="Arial"/>
            <w:noProof/>
          </w:rPr>
          <w:t xml:space="preserve"> × </w:t>
        </w:r>
        <w:r w:rsidRPr="00FA060E">
          <w:rPr>
            <w:rStyle w:val="Hyperlink"/>
            <w:rFonts w:ascii="Arial" w:hAnsi="Arial"/>
            <w:noProof/>
          </w:rPr>
          <w:t>资金</w:t>
        </w:r>
        <w:r w:rsidRPr="00FA060E">
          <w:rPr>
            <w:rStyle w:val="Hyperlink"/>
            <w:rFonts w:ascii="Arial" w:hAnsi="Arial"/>
            <w:noProof/>
          </w:rPr>
          <w:t xml:space="preserve"> × </w:t>
        </w:r>
        <w:r w:rsidRPr="00FA060E">
          <w:rPr>
            <w:rStyle w:val="Hyperlink"/>
            <w:rFonts w:ascii="Arial" w:hAnsi="Arial"/>
            <w:noProof/>
          </w:rPr>
          <w:t>价格）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F3F6FF" w14:textId="095073C1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90" w:history="1">
        <w:r w:rsidRPr="00FA060E">
          <w:rPr>
            <w:rStyle w:val="Hyperlink"/>
            <w:rFonts w:ascii="Arial" w:hAnsi="Arial"/>
            <w:noProof/>
          </w:rPr>
          <w:t xml:space="preserve">12. </w:t>
        </w:r>
        <w:r w:rsidRPr="00FA060E">
          <w:rPr>
            <w:rStyle w:val="Hyperlink"/>
            <w:rFonts w:ascii="Arial" w:hAnsi="Arial"/>
            <w:noProof/>
          </w:rPr>
          <w:t>投资含义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577E10" w14:textId="2B20E72E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91" w:history="1">
        <w:r w:rsidRPr="00FA060E">
          <w:rPr>
            <w:rStyle w:val="Hyperlink"/>
            <w:rFonts w:ascii="Arial" w:hAnsi="Arial"/>
            <w:noProof/>
          </w:rPr>
          <w:t xml:space="preserve">13. </w:t>
        </w:r>
        <w:r w:rsidRPr="00FA060E">
          <w:rPr>
            <w:rStyle w:val="Hyperlink"/>
            <w:rFonts w:ascii="Arial" w:hAnsi="Arial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8BF518" w14:textId="5F865C08" w:rsidR="00112C76" w:rsidRDefault="00112C76">
      <w:pPr>
        <w:pStyle w:val="TOC2"/>
        <w:tabs>
          <w:tab w:val="right" w:leader="dot" w:pos="9350"/>
        </w:tabs>
        <w:rPr>
          <w:noProof/>
        </w:rPr>
      </w:pPr>
      <w:hyperlink w:anchor="_Toc237759592" w:history="1">
        <w:r w:rsidRPr="00FA060E">
          <w:rPr>
            <w:rStyle w:val="Hyperlink"/>
            <w:rFonts w:ascii="Arial" w:hAnsi="Arial"/>
            <w:noProof/>
          </w:rPr>
          <w:t>附录：历史有效性检验（全市场）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C801F9" w14:textId="644665EB" w:rsidR="00830C1B" w:rsidRDefault="004B0357">
      <w:pPr>
        <w:pStyle w:val="TOC21"/>
        <w:tabs>
          <w:tab w:val="right" w:leader="dot" w:pos="9360"/>
        </w:tabs>
      </w:pPr>
      <w:r>
        <w:fldChar w:fldCharType="end"/>
      </w:r>
    </w:p>
    <w:p w14:paraId="100073AB" w14:textId="77777777" w:rsidR="00830C1B" w:rsidRDefault="004B0357">
      <w:r>
        <w:br w:type="page"/>
      </w:r>
    </w:p>
    <w:p w14:paraId="7C622229" w14:textId="77777777" w:rsidR="00830C1B" w:rsidRDefault="004B0357">
      <w:pPr>
        <w:pStyle w:val="Heading1"/>
      </w:pPr>
      <w:bookmarkStart w:id="0" w:name="_Toc237759576"/>
      <w:r>
        <w:rPr>
          <w:rFonts w:ascii="Arial" w:eastAsia="Microsoft YaHei" w:hAnsi="Arial" w:cs="Arial"/>
        </w:rPr>
        <w:lastRenderedPageBreak/>
        <w:t>锦鑫生殖（</w:t>
      </w:r>
      <w:r>
        <w:rPr>
          <w:rFonts w:ascii="Arial" w:eastAsia="Microsoft YaHei" w:hAnsi="Arial" w:cs="Arial"/>
        </w:rPr>
        <w:t>01951</w:t>
      </w:r>
      <w:r>
        <w:rPr>
          <w:rFonts w:ascii="Arial" w:eastAsia="Microsoft YaHei" w:hAnsi="Arial" w:cs="Arial"/>
        </w:rPr>
        <w:t>）</w:t>
      </w:r>
      <w:bookmarkEnd w:id="0"/>
    </w:p>
    <w:p w14:paraId="5BC58431" w14:textId="77777777" w:rsidR="00830C1B" w:rsidRDefault="004B0357">
      <w:pPr>
        <w:pStyle w:val="Heading2"/>
      </w:pPr>
      <w:bookmarkStart w:id="1" w:name="_Toc237759577"/>
      <w:r>
        <w:rPr>
          <w:rFonts w:ascii="Arial" w:eastAsia="Microsoft YaHei" w:hAnsi="Arial" w:cs="Arial"/>
        </w:rPr>
        <w:t>季度筹码结构分析报告</w:t>
      </w:r>
      <w:bookmarkEnd w:id="1"/>
    </w:p>
    <w:p w14:paraId="436D2B09" w14:textId="77777777" w:rsidR="00830C1B" w:rsidRDefault="004B0357">
      <w:pPr>
        <w:pStyle w:val="Heading3"/>
      </w:pPr>
      <w:bookmarkStart w:id="2" w:name="_Toc237759578"/>
      <w:r>
        <w:rPr>
          <w:rFonts w:ascii="Arial" w:eastAsia="Microsoft YaHei" w:hAnsi="Arial" w:cs="Arial"/>
        </w:rPr>
        <w:t>2026/Q2</w:t>
      </w:r>
      <w:bookmarkEnd w:id="2"/>
    </w:p>
    <w:p w14:paraId="4E18CCF0" w14:textId="77777777" w:rsidR="00830C1B" w:rsidRDefault="00830C1B">
      <w:pPr>
        <w:pBdr>
          <w:bottom w:val="single" w:sz="6" w:space="1" w:color="auto"/>
        </w:pBdr>
      </w:pPr>
    </w:p>
    <w:p w14:paraId="287AF6C5" w14:textId="77777777" w:rsidR="00830C1B" w:rsidRDefault="004B0357">
      <w:pPr>
        <w:pStyle w:val="Heading2"/>
      </w:pPr>
      <w:bookmarkStart w:id="3" w:name="_Toc237759579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执行摘要</w:t>
      </w:r>
      <w:bookmarkEnd w:id="3"/>
    </w:p>
    <w:p w14:paraId="1059A668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筹码状态：强烈上升（持股比例）</w:t>
      </w:r>
    </w:p>
    <w:p w14:paraId="5A519828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机构参与度：下降，参与度评分</w:t>
      </w:r>
      <w:r>
        <w:rPr>
          <w:rFonts w:cs="Calibri"/>
        </w:rPr>
        <w:t xml:space="preserve"> 49 / 100</w:t>
      </w:r>
    </w:p>
    <w:p w14:paraId="07470F1A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持股比例：</w:t>
      </w:r>
      <w:r>
        <w:rPr>
          <w:rFonts w:cs="Calibri"/>
        </w:rPr>
        <w:t>39.80%</w:t>
      </w:r>
      <w:r>
        <w:rPr>
          <w:rFonts w:cs="Calibri"/>
        </w:rPr>
        <w:t>（</w:t>
      </w:r>
      <w:r>
        <w:rPr>
          <w:rFonts w:cs="Calibri"/>
        </w:rPr>
        <w:t>QoQ +4.87pp</w:t>
      </w:r>
      <w:r>
        <w:rPr>
          <w:rFonts w:cs="Calibri"/>
        </w:rPr>
        <w:t>）</w:t>
      </w:r>
    </w:p>
    <w:p w14:paraId="4C1B0062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持股数量：</w:t>
      </w:r>
      <w:r>
        <w:rPr>
          <w:rFonts w:cs="Calibri"/>
        </w:rPr>
        <w:t>1,041,420,376</w:t>
      </w:r>
      <w:r>
        <w:rPr>
          <w:rFonts w:cs="Calibri"/>
        </w:rPr>
        <w:t>（</w:t>
      </w:r>
      <w:r>
        <w:rPr>
          <w:rFonts w:cs="Calibri"/>
        </w:rPr>
        <w:t>QoQ 98,657,419</w:t>
      </w:r>
      <w:r>
        <w:rPr>
          <w:rFonts w:cs="Calibri"/>
        </w:rPr>
        <w:t>）</w:t>
      </w:r>
    </w:p>
    <w:p w14:paraId="42EA8253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筹码迁移：中性（状态</w:t>
      </w:r>
      <w:r>
        <w:rPr>
          <w:rFonts w:cs="Calibri"/>
        </w:rPr>
        <w:t xml:space="preserve"> CONCENTRATION</w:t>
      </w:r>
      <w:r>
        <w:rPr>
          <w:rFonts w:cs="Calibri"/>
        </w:rPr>
        <w:t>）</w:t>
      </w:r>
    </w:p>
    <w:p w14:paraId="39967202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筹码周期：</w:t>
      </w:r>
      <w:r>
        <w:rPr>
          <w:rFonts w:cs="Calibri"/>
          <w:b/>
        </w:rPr>
        <w:t xml:space="preserve">09 </w:t>
      </w:r>
      <w:r>
        <w:rPr>
          <w:rFonts w:cs="Calibri"/>
          <w:b/>
        </w:rPr>
        <w:t>退潮</w:t>
      </w:r>
      <w:r>
        <w:rPr>
          <w:rFonts w:cs="Calibri"/>
        </w:rPr>
        <w:t>（大周期：下跌周期，已持续</w:t>
      </w:r>
      <w:r>
        <w:rPr>
          <w:rFonts w:cs="Calibri"/>
        </w:rPr>
        <w:t xml:space="preserve"> 7 </w:t>
      </w:r>
      <w:r>
        <w:rPr>
          <w:rFonts w:cs="Calibri"/>
        </w:rPr>
        <w:t>个季度）</w:t>
      </w:r>
    </w:p>
    <w:p w14:paraId="5BA097FB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状态转换：</w:t>
      </w:r>
      <w:r>
        <w:rPr>
          <w:rFonts w:cs="Calibri"/>
        </w:rPr>
        <w:t xml:space="preserve">09 </w:t>
      </w:r>
      <w:r>
        <w:rPr>
          <w:rFonts w:cs="Calibri"/>
        </w:rPr>
        <w:t>退潮</w:t>
      </w:r>
      <w:r>
        <w:rPr>
          <w:rFonts w:cs="Calibri"/>
        </w:rPr>
        <w:t xml:space="preserve"> → 09 </w:t>
      </w:r>
      <w:r>
        <w:rPr>
          <w:rFonts w:cs="Calibri"/>
        </w:rPr>
        <w:t>退潮（</w:t>
      </w:r>
      <w:r>
        <w:rPr>
          <w:rFonts w:cs="Calibri"/>
        </w:rPr>
        <w:t>nan</w:t>
      </w:r>
      <w:r>
        <w:rPr>
          <w:rFonts w:cs="Calibri"/>
        </w:rPr>
        <w:t>：状态迁移）</w:t>
      </w:r>
    </w:p>
    <w:p w14:paraId="3AF36F8C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周期置信度：</w:t>
      </w:r>
      <w:r>
        <w:rPr>
          <w:rFonts w:cs="Calibri"/>
        </w:rPr>
        <w:t>63 / 100</w:t>
      </w:r>
    </w:p>
    <w:p w14:paraId="280B0EE6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周期雷达：</w:t>
      </w:r>
      <w:r>
        <w:rPr>
          <w:rFonts w:cs="Calibri"/>
        </w:rPr>
        <w:t>Chip 76 / Flow 75 / Price 0</w:t>
      </w:r>
    </w:p>
    <w:p w14:paraId="4B475A81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</w:t>
      </w:r>
      <w:r>
        <w:rPr>
          <w:rFonts w:cs="Calibri"/>
        </w:rPr>
        <w:t>—</w:t>
      </w:r>
      <w:r>
        <w:rPr>
          <w:rFonts w:cs="Calibri"/>
        </w:rPr>
        <w:t>价格关系：逆势集中（筹码改善但价格下跌，需验证是底部吸筹还是被动集中）</w:t>
      </w:r>
    </w:p>
    <w:p w14:paraId="0B67F59C" w14:textId="77777777" w:rsidR="00830C1B" w:rsidRDefault="004B0357">
      <w:pPr>
        <w:jc w:val="both"/>
      </w:pPr>
      <w:r>
        <w:rPr>
          <w:rFonts w:cs="Calibri"/>
          <w:b/>
        </w:rPr>
        <w:t>核心结论</w:t>
      </w:r>
      <w:r>
        <w:rPr>
          <w:rFonts w:cs="Calibri"/>
        </w:rPr>
        <w:t>：锦鑫生殖在</w:t>
      </w:r>
      <w:r>
        <w:rPr>
          <w:rFonts w:cs="Calibri"/>
        </w:rPr>
        <w:t>2026/Q2</w:t>
      </w:r>
      <w:r>
        <w:rPr>
          <w:rFonts w:cs="Calibri"/>
        </w:rPr>
        <w:t>的筹码周期为</w:t>
      </w:r>
      <w:r>
        <w:rPr>
          <w:rFonts w:cs="Calibri"/>
          <w:b/>
        </w:rPr>
        <w:t xml:space="preserve">09 </w:t>
      </w:r>
      <w:r>
        <w:rPr>
          <w:rFonts w:cs="Calibri"/>
          <w:b/>
        </w:rPr>
        <w:t>退潮</w:t>
      </w:r>
      <w:r>
        <w:rPr>
          <w:rFonts w:cs="Calibri"/>
        </w:rPr>
        <w:t>（</w:t>
      </w:r>
      <w:r>
        <w:rPr>
          <w:rFonts w:cs="Calibri"/>
        </w:rPr>
        <w:t>Chip Score 76/100</w:t>
      </w:r>
      <w:r>
        <w:rPr>
          <w:rFonts w:cs="Calibri"/>
        </w:rPr>
        <w:t>，置信度</w:t>
      </w:r>
      <w:r>
        <w:rPr>
          <w:rFonts w:cs="Calibri"/>
        </w:rPr>
        <w:t xml:space="preserve"> 63</w:t>
      </w:r>
      <w:r>
        <w:rPr>
          <w:rFonts w:cs="Calibri"/>
        </w:rPr>
        <w:t>）。机构参与度下降、持股比例强烈上升。上述结论基于季度汇总数据（证据等级</w:t>
      </w:r>
      <w:r>
        <w:rPr>
          <w:rFonts w:cs="Calibri"/>
        </w:rPr>
        <w:t xml:space="preserve"> A/B</w:t>
      </w:r>
      <w:r>
        <w:rPr>
          <w:rFonts w:cs="Calibri"/>
        </w:rPr>
        <w:t>），</w:t>
      </w:r>
      <w:r>
        <w:rPr>
          <w:rFonts w:cs="Calibri"/>
          <w:b/>
        </w:rPr>
        <w:t>不构成对具体机构买卖行为的推断</w:t>
      </w:r>
      <w:r>
        <w:rPr>
          <w:rFonts w:cs="Calibri"/>
        </w:rPr>
        <w:t>。</w:t>
      </w:r>
    </w:p>
    <w:p w14:paraId="2E4626FB" w14:textId="77777777" w:rsidR="00830C1B" w:rsidRDefault="00830C1B">
      <w:pPr>
        <w:pBdr>
          <w:bottom w:val="single" w:sz="6" w:space="1" w:color="auto"/>
        </w:pBdr>
      </w:pPr>
    </w:p>
    <w:p w14:paraId="545245B2" w14:textId="77777777" w:rsidR="00830C1B" w:rsidRDefault="004B0357">
      <w:pPr>
        <w:pStyle w:val="Heading2"/>
      </w:pPr>
      <w:bookmarkStart w:id="4" w:name="_Toc237759580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数据质量与分析边界</w:t>
      </w:r>
      <w:bookmarkEnd w:id="4"/>
    </w:p>
    <w:p w14:paraId="7348A7AF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数据来源：</w:t>
      </w:r>
      <w:r>
        <w:rPr>
          <w:rFonts w:cs="Calibri"/>
        </w:rPr>
        <w:t>futu</w:t>
      </w:r>
      <w:r>
        <w:rPr>
          <w:rFonts w:cs="Calibri"/>
        </w:rPr>
        <w:t>（</w:t>
      </w:r>
      <w:r>
        <w:rPr>
          <w:rFonts w:cs="Calibri"/>
        </w:rPr>
        <w:t xml:space="preserve">hk_hist_institutional_holdings </w:t>
      </w:r>
      <w:r>
        <w:rPr>
          <w:rFonts w:cs="Calibri"/>
        </w:rPr>
        <w:t>季度汇总）</w:t>
      </w:r>
    </w:p>
    <w:p w14:paraId="4555E59A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数据截止：</w:t>
      </w:r>
      <w:r>
        <w:rPr>
          <w:rFonts w:cs="Calibri"/>
        </w:rPr>
        <w:t>2026/Q2</w:t>
      </w:r>
      <w:r>
        <w:rPr>
          <w:rFonts w:cs="Calibri"/>
        </w:rPr>
        <w:t>（</w:t>
      </w:r>
      <w:r>
        <w:rPr>
          <w:rFonts w:cs="Calibri"/>
        </w:rPr>
        <w:t>2026-06-30</w:t>
      </w:r>
      <w:r>
        <w:rPr>
          <w:rFonts w:cs="Calibri"/>
        </w:rPr>
        <w:t>）</w:t>
      </w:r>
    </w:p>
    <w:p w14:paraId="0B5616B2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历史长度：</w:t>
      </w:r>
      <w:r>
        <w:rPr>
          <w:rFonts w:cs="Calibri"/>
        </w:rPr>
        <w:t xml:space="preserve">32 </w:t>
      </w:r>
      <w:r>
        <w:rPr>
          <w:rFonts w:cs="Calibri"/>
        </w:rPr>
        <w:t>个季度（</w:t>
      </w:r>
      <w:r>
        <w:rPr>
          <w:rFonts w:cs="Calibri"/>
        </w:rPr>
        <w:t>2015/Q4 ~ 2026/Q2</w:t>
      </w:r>
      <w:r>
        <w:rPr>
          <w:rFonts w:cs="Calibri"/>
        </w:rPr>
        <w:t>）</w:t>
      </w:r>
    </w:p>
    <w:p w14:paraId="00B164AA" w14:textId="77777777" w:rsidR="00830C1B" w:rsidRDefault="004B0357">
      <w:pPr>
        <w:jc w:val="both"/>
      </w:pPr>
      <w:r>
        <w:rPr>
          <w:rFonts w:cs="Calibri"/>
          <w:b/>
        </w:rPr>
        <w:t>本报告基于季度机构持股汇总数据，不包含单一机构持股明细，因此无法识别机构名称、机构成本、机构增减持行为及机构内部集中度。</w:t>
      </w:r>
    </w:p>
    <w:p w14:paraId="306F7180" w14:textId="77777777" w:rsidR="00830C1B" w:rsidRDefault="004B0357">
      <w:pPr>
        <w:jc w:val="both"/>
      </w:pPr>
      <w:r>
        <w:rPr>
          <w:rFonts w:cs="Calibri"/>
          <w:b/>
        </w:rPr>
        <w:t>可以分析</w:t>
      </w:r>
      <w:r>
        <w:rPr>
          <w:rFonts w:cs="Calibri"/>
        </w:rPr>
        <w:t>：机构数量、持股数量、持股比例、季度</w:t>
      </w:r>
      <w:r>
        <w:rPr>
          <w:rFonts w:cs="Calibri"/>
        </w:rPr>
        <w:t>/</w:t>
      </w:r>
      <w:r>
        <w:rPr>
          <w:rFonts w:cs="Calibri"/>
        </w:rPr>
        <w:t>年度变化、筹码集中</w:t>
      </w:r>
      <w:r>
        <w:rPr>
          <w:rFonts w:cs="Calibri"/>
        </w:rPr>
        <w:t>/</w:t>
      </w:r>
      <w:r>
        <w:rPr>
          <w:rFonts w:cs="Calibri"/>
        </w:rPr>
        <w:t>扩散趋势、机构参与度、筹码迁移、与价格</w:t>
      </w:r>
      <w:r>
        <w:rPr>
          <w:rFonts w:cs="Calibri"/>
        </w:rPr>
        <w:t>/</w:t>
      </w:r>
      <w:r>
        <w:rPr>
          <w:rFonts w:cs="Calibri"/>
        </w:rPr>
        <w:t>资金流的关系。</w:t>
      </w:r>
    </w:p>
    <w:p w14:paraId="3E6207A1" w14:textId="77777777" w:rsidR="00830C1B" w:rsidRDefault="004B0357">
      <w:pPr>
        <w:jc w:val="both"/>
      </w:pPr>
      <w:r>
        <w:rPr>
          <w:rFonts w:cs="Calibri"/>
          <w:b/>
        </w:rPr>
        <w:lastRenderedPageBreak/>
        <w:t>不能直接分析</w:t>
      </w:r>
      <w:r>
        <w:rPr>
          <w:rFonts w:cs="Calibri"/>
        </w:rPr>
        <w:t>：哪家机构增持</w:t>
      </w:r>
      <w:r>
        <w:rPr>
          <w:rFonts w:cs="Calibri"/>
        </w:rPr>
        <w:t>/</w:t>
      </w:r>
      <w:r>
        <w:rPr>
          <w:rFonts w:cs="Calibri"/>
        </w:rPr>
        <w:t>减持、机构平均成本、</w:t>
      </w:r>
      <w:r>
        <w:rPr>
          <w:rFonts w:cs="Calibri"/>
        </w:rPr>
        <w:t xml:space="preserve">Top10 </w:t>
      </w:r>
      <w:r>
        <w:rPr>
          <w:rFonts w:cs="Calibri"/>
        </w:rPr>
        <w:t>机构集中度、</w:t>
      </w:r>
      <w:r>
        <w:rPr>
          <w:rFonts w:cs="Calibri"/>
        </w:rPr>
        <w:t>HHI</w:t>
      </w:r>
      <w:r>
        <w:rPr>
          <w:rFonts w:cs="Calibri"/>
        </w:rPr>
        <w:t>、单一机构锁仓、机构波段操作、机构真实盈亏。</w:t>
      </w:r>
    </w:p>
    <w:p w14:paraId="51CB7F72" w14:textId="77777777" w:rsidR="00830C1B" w:rsidRDefault="004B0357">
      <w:pPr>
        <w:jc w:val="both"/>
      </w:pPr>
      <w:r>
        <w:rPr>
          <w:rFonts w:cs="Calibri"/>
          <w:b/>
        </w:rPr>
        <w:t>证据等级</w:t>
      </w:r>
      <w:r>
        <w:rPr>
          <w:rFonts w:cs="Calibri"/>
        </w:rPr>
        <w:t>：</w:t>
      </w:r>
      <w:r>
        <w:rPr>
          <w:rFonts w:cs="Calibri"/>
        </w:rPr>
        <w:t>A=</w:t>
      </w:r>
      <w:r>
        <w:rPr>
          <w:rFonts w:cs="Calibri"/>
        </w:rPr>
        <w:t>直接观察；</w:t>
      </w:r>
      <w:r>
        <w:rPr>
          <w:rFonts w:cs="Calibri"/>
        </w:rPr>
        <w:t>B=</w:t>
      </w:r>
      <w:r>
        <w:rPr>
          <w:rFonts w:cs="Calibri"/>
        </w:rPr>
        <w:t>高可信推断；</w:t>
      </w:r>
      <w:r>
        <w:rPr>
          <w:rFonts w:cs="Calibri"/>
        </w:rPr>
        <w:t>C=</w:t>
      </w:r>
      <w:r>
        <w:rPr>
          <w:rFonts w:cs="Calibri"/>
        </w:rPr>
        <w:t>假设；</w:t>
      </w:r>
      <w:r>
        <w:rPr>
          <w:rFonts w:cs="Calibri"/>
        </w:rPr>
        <w:t>D=</w:t>
      </w:r>
      <w:r>
        <w:rPr>
          <w:rFonts w:cs="Calibri"/>
        </w:rPr>
        <w:t>不可验证。</w:t>
      </w:r>
    </w:p>
    <w:p w14:paraId="06E51361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数据质量风险：当前记录未触发明显数据质量提示</w:t>
      </w:r>
    </w:p>
    <w:p w14:paraId="1D253759" w14:textId="77777777" w:rsidR="00830C1B" w:rsidRDefault="00830C1B">
      <w:pPr>
        <w:pBdr>
          <w:bottom w:val="single" w:sz="6" w:space="1" w:color="auto"/>
        </w:pBdr>
      </w:pPr>
    </w:p>
    <w:p w14:paraId="37C91345" w14:textId="77777777" w:rsidR="00830C1B" w:rsidRDefault="004B0357">
      <w:pPr>
        <w:pStyle w:val="Heading2"/>
      </w:pPr>
      <w:bookmarkStart w:id="5" w:name="_Toc237759581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筹码存量状态</w:t>
      </w:r>
      <w:bookmarkEnd w:id="5"/>
    </w:p>
    <w:p w14:paraId="37F511E9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机构数量：</w:t>
      </w:r>
      <w:r>
        <w:rPr>
          <w:rFonts w:cs="Calibri"/>
        </w:rPr>
        <w:t>43 [A]</w:t>
      </w:r>
    </w:p>
    <w:p w14:paraId="4FBCFB4C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持股数量：</w:t>
      </w:r>
      <w:r>
        <w:rPr>
          <w:rFonts w:cs="Calibri"/>
        </w:rPr>
        <w:t>1,041,420,376 [A]</w:t>
      </w:r>
    </w:p>
    <w:p w14:paraId="200182C8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持股比例：</w:t>
      </w:r>
      <w:r>
        <w:rPr>
          <w:rFonts w:cs="Calibri"/>
        </w:rPr>
        <w:t>39.80% [A]</w:t>
      </w:r>
    </w:p>
    <w:p w14:paraId="7502E2E8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季末价格：</w:t>
      </w:r>
      <w:r>
        <w:rPr>
          <w:rFonts w:cs="Calibri"/>
        </w:rPr>
        <w:t>1.9700 [A]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0C1B" w14:paraId="39470DB5" w14:textId="77777777">
        <w:trPr>
          <w:tblHeader/>
        </w:trPr>
        <w:tc>
          <w:tcPr>
            <w:tcW w:w="2340" w:type="dxa"/>
            <w:shd w:val="clear" w:color="auto" w:fill="2F5496"/>
          </w:tcPr>
          <w:p w14:paraId="0AC7DD97" w14:textId="77777777" w:rsidR="00830C1B" w:rsidRDefault="004B0357">
            <w:r>
              <w:rPr>
                <w:rFonts w:cs="Calibri"/>
                <w:b/>
                <w:color w:val="FFFFFF"/>
                <w:sz w:val="19"/>
              </w:rPr>
              <w:t>变化维度</w:t>
            </w:r>
          </w:p>
        </w:tc>
        <w:tc>
          <w:tcPr>
            <w:tcW w:w="2340" w:type="dxa"/>
            <w:shd w:val="clear" w:color="auto" w:fill="2F5496"/>
          </w:tcPr>
          <w:p w14:paraId="308C8E59" w14:textId="77777777" w:rsidR="00830C1B" w:rsidRDefault="004B0357">
            <w:r>
              <w:rPr>
                <w:rFonts w:cs="Calibri"/>
                <w:b/>
                <w:color w:val="FFFFFF"/>
                <w:sz w:val="19"/>
              </w:rPr>
              <w:t>机构数量</w:t>
            </w:r>
          </w:p>
        </w:tc>
        <w:tc>
          <w:tcPr>
            <w:tcW w:w="2340" w:type="dxa"/>
            <w:shd w:val="clear" w:color="auto" w:fill="2F5496"/>
          </w:tcPr>
          <w:p w14:paraId="1B3DB16B" w14:textId="77777777" w:rsidR="00830C1B" w:rsidRDefault="004B0357">
            <w:r>
              <w:rPr>
                <w:rFonts w:cs="Calibri"/>
                <w:b/>
                <w:color w:val="FFFFFF"/>
                <w:sz w:val="19"/>
              </w:rPr>
              <w:t>持股数量</w:t>
            </w:r>
          </w:p>
        </w:tc>
        <w:tc>
          <w:tcPr>
            <w:tcW w:w="2340" w:type="dxa"/>
            <w:shd w:val="clear" w:color="auto" w:fill="2F5496"/>
          </w:tcPr>
          <w:p w14:paraId="28CC1B7B" w14:textId="77777777" w:rsidR="00830C1B" w:rsidRDefault="004B0357">
            <w:r>
              <w:rPr>
                <w:rFonts w:cs="Calibri"/>
                <w:b/>
                <w:color w:val="FFFFFF"/>
                <w:sz w:val="19"/>
              </w:rPr>
              <w:t>持股比例</w:t>
            </w:r>
          </w:p>
        </w:tc>
      </w:tr>
      <w:tr w:rsidR="00830C1B" w14:paraId="6CBFBB3F" w14:textId="77777777">
        <w:tc>
          <w:tcPr>
            <w:tcW w:w="2340" w:type="dxa"/>
          </w:tcPr>
          <w:p w14:paraId="75E5B24A" w14:textId="77777777" w:rsidR="00830C1B" w:rsidRDefault="004B0357">
            <w:r>
              <w:rPr>
                <w:rFonts w:cs="Calibri"/>
                <w:sz w:val="19"/>
              </w:rPr>
              <w:t>QoQ</w:t>
            </w:r>
          </w:p>
        </w:tc>
        <w:tc>
          <w:tcPr>
            <w:tcW w:w="2340" w:type="dxa"/>
          </w:tcPr>
          <w:p w14:paraId="07F5C369" w14:textId="77777777" w:rsidR="00830C1B" w:rsidRDefault="004B0357">
            <w:r>
              <w:rPr>
                <w:rFonts w:cs="Calibri"/>
                <w:sz w:val="19"/>
              </w:rPr>
              <w:t>-4 (-8.51%)</w:t>
            </w:r>
          </w:p>
        </w:tc>
        <w:tc>
          <w:tcPr>
            <w:tcW w:w="2340" w:type="dxa"/>
          </w:tcPr>
          <w:p w14:paraId="7A5656CD" w14:textId="77777777" w:rsidR="00830C1B" w:rsidRDefault="004B0357">
            <w:r>
              <w:rPr>
                <w:rFonts w:cs="Calibri"/>
                <w:sz w:val="19"/>
              </w:rPr>
              <w:t>98,657,419 (+10.46%)</w:t>
            </w:r>
          </w:p>
        </w:tc>
        <w:tc>
          <w:tcPr>
            <w:tcW w:w="2340" w:type="dxa"/>
          </w:tcPr>
          <w:p w14:paraId="5D4CF77F" w14:textId="77777777" w:rsidR="00830C1B" w:rsidRDefault="004B0357">
            <w:r>
              <w:rPr>
                <w:rFonts w:cs="Calibri"/>
                <w:sz w:val="19"/>
              </w:rPr>
              <w:t>+4.87pp</w:t>
            </w:r>
          </w:p>
        </w:tc>
      </w:tr>
      <w:tr w:rsidR="00830C1B" w14:paraId="35EE1722" w14:textId="77777777">
        <w:tc>
          <w:tcPr>
            <w:tcW w:w="2340" w:type="dxa"/>
          </w:tcPr>
          <w:p w14:paraId="127F403F" w14:textId="77777777" w:rsidR="00830C1B" w:rsidRDefault="004B0357">
            <w:r>
              <w:rPr>
                <w:rFonts w:cs="Calibri"/>
                <w:sz w:val="19"/>
              </w:rPr>
              <w:t>YoY</w:t>
            </w:r>
          </w:p>
        </w:tc>
        <w:tc>
          <w:tcPr>
            <w:tcW w:w="2340" w:type="dxa"/>
          </w:tcPr>
          <w:p w14:paraId="36D07B24" w14:textId="77777777" w:rsidR="00830C1B" w:rsidRDefault="004B0357">
            <w:r>
              <w:rPr>
                <w:rFonts w:cs="Calibri"/>
                <w:sz w:val="19"/>
              </w:rPr>
              <w:t>-20.37%</w:t>
            </w:r>
          </w:p>
        </w:tc>
        <w:tc>
          <w:tcPr>
            <w:tcW w:w="2340" w:type="dxa"/>
          </w:tcPr>
          <w:p w14:paraId="7710EE24" w14:textId="77777777" w:rsidR="00830C1B" w:rsidRDefault="004B0357">
            <w:r>
              <w:rPr>
                <w:rFonts w:cs="Calibri"/>
                <w:sz w:val="19"/>
              </w:rPr>
              <w:t>+4.37%</w:t>
            </w:r>
          </w:p>
        </w:tc>
        <w:tc>
          <w:tcPr>
            <w:tcW w:w="2340" w:type="dxa"/>
          </w:tcPr>
          <w:p w14:paraId="5F8CC1A7" w14:textId="77777777" w:rsidR="00830C1B" w:rsidRDefault="004B0357">
            <w:r>
              <w:rPr>
                <w:rFonts w:cs="Calibri"/>
                <w:sz w:val="19"/>
              </w:rPr>
              <w:t>+3.45pp</w:t>
            </w:r>
          </w:p>
        </w:tc>
      </w:tr>
      <w:tr w:rsidR="00830C1B" w14:paraId="19D4805D" w14:textId="77777777">
        <w:tc>
          <w:tcPr>
            <w:tcW w:w="2340" w:type="dxa"/>
          </w:tcPr>
          <w:p w14:paraId="09FA49AC" w14:textId="77777777" w:rsidR="00830C1B" w:rsidRDefault="004B0357">
            <w:r>
              <w:rPr>
                <w:rFonts w:cs="Calibri"/>
                <w:sz w:val="19"/>
              </w:rPr>
              <w:t>4Q</w:t>
            </w:r>
            <w:r>
              <w:rPr>
                <w:rFonts w:cs="Calibri"/>
                <w:sz w:val="19"/>
              </w:rPr>
              <w:t>累计</w:t>
            </w:r>
          </w:p>
        </w:tc>
        <w:tc>
          <w:tcPr>
            <w:tcW w:w="2340" w:type="dxa"/>
          </w:tcPr>
          <w:p w14:paraId="61E9088D" w14:textId="77777777" w:rsidR="00830C1B" w:rsidRDefault="004B0357">
            <w:r>
              <w:rPr>
                <w:rFonts w:cs="Calibri"/>
                <w:sz w:val="19"/>
              </w:rPr>
              <w:t>-11</w:t>
            </w:r>
          </w:p>
        </w:tc>
        <w:tc>
          <w:tcPr>
            <w:tcW w:w="2340" w:type="dxa"/>
          </w:tcPr>
          <w:p w14:paraId="43F9E47C" w14:textId="77777777" w:rsidR="00830C1B" w:rsidRDefault="004B0357">
            <w:r>
              <w:rPr>
                <w:rFonts w:cs="Calibri"/>
                <w:sz w:val="19"/>
              </w:rPr>
              <w:t>43,633,983</w:t>
            </w:r>
          </w:p>
        </w:tc>
        <w:tc>
          <w:tcPr>
            <w:tcW w:w="2340" w:type="dxa"/>
          </w:tcPr>
          <w:p w14:paraId="64BF4C06" w14:textId="77777777" w:rsidR="00830C1B" w:rsidRDefault="004B0357">
            <w:r>
              <w:rPr>
                <w:rFonts w:cs="Calibri"/>
                <w:sz w:val="19"/>
              </w:rPr>
              <w:t>+3.45pp</w:t>
            </w:r>
          </w:p>
        </w:tc>
      </w:tr>
    </w:tbl>
    <w:p w14:paraId="084D1EC5" w14:textId="77777777" w:rsidR="00830C1B" w:rsidRDefault="004B0357">
      <w:pPr>
        <w:jc w:val="both"/>
      </w:pPr>
      <w:r>
        <w:rPr>
          <w:rFonts w:cs="Calibri"/>
        </w:rPr>
        <w:t>解读：机构数量环比</w:t>
      </w:r>
      <w:r>
        <w:rPr>
          <w:rFonts w:cs="Calibri"/>
        </w:rPr>
        <w:t xml:space="preserve"> -8.51%</w:t>
      </w:r>
      <w:r>
        <w:rPr>
          <w:rFonts w:cs="Calibri"/>
        </w:rPr>
        <w:t>、持股数量环比</w:t>
      </w:r>
      <w:r>
        <w:rPr>
          <w:rFonts w:cs="Calibri"/>
        </w:rPr>
        <w:t xml:space="preserve"> +10.46%</w:t>
      </w:r>
      <w:r>
        <w:rPr>
          <w:rFonts w:cs="Calibri"/>
        </w:rPr>
        <w:t>、持股比例环比</w:t>
      </w:r>
      <w:r>
        <w:rPr>
          <w:rFonts w:cs="Calibri"/>
        </w:rPr>
        <w:t xml:space="preserve"> +4.87pp</w:t>
      </w:r>
      <w:r>
        <w:rPr>
          <w:rFonts w:cs="Calibri"/>
        </w:rPr>
        <w:t>。（注：持股比例变化应以百分点计，而非百分比。）</w:t>
      </w:r>
    </w:p>
    <w:p w14:paraId="11A21AC6" w14:textId="77777777" w:rsidR="00830C1B" w:rsidRDefault="00830C1B">
      <w:pPr>
        <w:pBdr>
          <w:bottom w:val="single" w:sz="6" w:space="1" w:color="auto"/>
        </w:pBdr>
      </w:pPr>
    </w:p>
    <w:p w14:paraId="12E9E20B" w14:textId="77777777" w:rsidR="00830C1B" w:rsidRDefault="004B0357">
      <w:pPr>
        <w:pStyle w:val="Heading2"/>
      </w:pPr>
      <w:bookmarkStart w:id="6" w:name="_Toc237759582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机构参与度</w:t>
      </w:r>
      <w:bookmarkEnd w:id="6"/>
    </w:p>
    <w:p w14:paraId="319177BE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机构数量（近</w:t>
      </w:r>
      <w:r>
        <w:rPr>
          <w:rFonts w:cs="Calibri"/>
        </w:rPr>
        <w:t>5</w:t>
      </w:r>
      <w:r>
        <w:rPr>
          <w:rFonts w:cs="Calibri"/>
        </w:rPr>
        <w:t>个季度）：</w:t>
      </w:r>
      <w:r>
        <w:rPr>
          <w:rFonts w:cs="Calibri"/>
        </w:rPr>
        <w:t>2025/Q2 → 2025/Q3 → 2025/Q4 → 2026/Q1 → 2026/Q2</w:t>
      </w:r>
    </w:p>
    <w:p w14:paraId="34AB9342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机构数量：</w:t>
      </w:r>
      <w:r>
        <w:rPr>
          <w:rFonts w:cs="Calibri"/>
        </w:rPr>
        <w:t>54 → 53 → 46 → 47 → 43 [A]</w:t>
      </w:r>
    </w:p>
    <w:p w14:paraId="353D1FA6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参与度评分：</w:t>
      </w:r>
      <w:r>
        <w:rPr>
          <w:rFonts w:cs="Calibri"/>
        </w:rPr>
        <w:t>49 / 100 [B]</w:t>
      </w:r>
    </w:p>
    <w:p w14:paraId="04F3E086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机构数量趋势：下降（</w:t>
      </w:r>
      <w:r>
        <w:rPr>
          <w:rFonts w:cs="Calibri"/>
        </w:rPr>
        <w:t>QoQ -8.51%</w:t>
      </w:r>
      <w:r>
        <w:rPr>
          <w:rFonts w:cs="Calibri"/>
        </w:rPr>
        <w:t>）</w:t>
      </w:r>
    </w:p>
    <w:p w14:paraId="1AF93785" w14:textId="77777777" w:rsidR="00830C1B" w:rsidRDefault="004B0357">
      <w:r>
        <w:rPr>
          <w:rFonts w:cs="Calibri"/>
        </w:rPr>
        <w:t>解读：机构参与广度收缩（机构数量减少）。</w:t>
      </w:r>
      <w:r>
        <w:rPr>
          <w:rFonts w:cs="Calibri"/>
        </w:rPr>
        <w:t>[B]</w:t>
      </w:r>
      <w:r>
        <w:br/>
      </w:r>
      <w:r>
        <w:rPr>
          <w:rFonts w:cs="Calibri"/>
        </w:rPr>
        <w:t>注意：机构数量下降但持股比例上升，可能是</w:t>
      </w:r>
      <w:r>
        <w:rPr>
          <w:rFonts w:cs="Calibri"/>
        </w:rPr>
        <w:t>“</w:t>
      </w:r>
      <w:r>
        <w:rPr>
          <w:rFonts w:cs="Calibri"/>
        </w:rPr>
        <w:t>筹码集中代理信号</w:t>
      </w:r>
      <w:r>
        <w:rPr>
          <w:rFonts w:cs="Calibri"/>
        </w:rPr>
        <w:t>”</w:t>
      </w:r>
      <w:r>
        <w:rPr>
          <w:rFonts w:cs="Calibri"/>
        </w:rPr>
        <w:t>，而非机构锁仓证据。</w:t>
      </w:r>
      <w:r>
        <w:rPr>
          <w:rFonts w:cs="Calibri"/>
        </w:rPr>
        <w:t>[C]</w:t>
      </w:r>
    </w:p>
    <w:p w14:paraId="65D39DB0" w14:textId="77777777" w:rsidR="00830C1B" w:rsidRDefault="00830C1B">
      <w:pPr>
        <w:pBdr>
          <w:bottom w:val="single" w:sz="6" w:space="1" w:color="auto"/>
        </w:pBdr>
      </w:pPr>
    </w:p>
    <w:p w14:paraId="025567DF" w14:textId="77777777" w:rsidR="00830C1B" w:rsidRDefault="004B0357">
      <w:pPr>
        <w:pStyle w:val="Heading2"/>
      </w:pPr>
      <w:bookmarkStart w:id="7" w:name="_Toc237759583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持有人结构变化</w:t>
      </w:r>
      <w:bookmarkEnd w:id="7"/>
    </w:p>
    <w:p w14:paraId="217E7DF3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持股数量：</w:t>
      </w:r>
      <w:r>
        <w:rPr>
          <w:rFonts w:cs="Calibri"/>
        </w:rPr>
        <w:t>1,041,420,376 [A]</w:t>
      </w:r>
    </w:p>
    <w:p w14:paraId="0CB2A601" w14:textId="77777777" w:rsidR="00830C1B" w:rsidRDefault="004B0357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QoQ</w:t>
      </w:r>
      <w:r>
        <w:rPr>
          <w:rFonts w:cs="Calibri"/>
        </w:rPr>
        <w:t>：</w:t>
      </w:r>
      <w:r>
        <w:rPr>
          <w:rFonts w:cs="Calibri"/>
        </w:rPr>
        <w:t>98,657,419</w:t>
      </w:r>
      <w:r>
        <w:rPr>
          <w:rFonts w:cs="Calibri"/>
        </w:rPr>
        <w:t>（</w:t>
      </w:r>
      <w:r>
        <w:rPr>
          <w:rFonts w:cs="Calibri"/>
        </w:rPr>
        <w:t>+10.46%</w:t>
      </w:r>
      <w:r>
        <w:rPr>
          <w:rFonts w:cs="Calibri"/>
        </w:rPr>
        <w:t>）</w:t>
      </w:r>
    </w:p>
    <w:p w14:paraId="3C972CDC" w14:textId="77777777" w:rsidR="00830C1B" w:rsidRDefault="004B0357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4Q</w:t>
      </w:r>
      <w:r>
        <w:rPr>
          <w:rFonts w:cs="Calibri"/>
        </w:rPr>
        <w:t>累计变化：</w:t>
      </w:r>
      <w:r>
        <w:rPr>
          <w:rFonts w:cs="Calibri"/>
        </w:rPr>
        <w:t>43,633,983</w:t>
      </w:r>
    </w:p>
    <w:p w14:paraId="0EA0CC1E" w14:textId="77777777" w:rsidR="00830C1B" w:rsidRDefault="004B0357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持股比例：</w:t>
      </w:r>
      <w:r>
        <w:rPr>
          <w:rFonts w:cs="Calibri"/>
        </w:rPr>
        <w:t>39.80% [A]</w:t>
      </w:r>
    </w:p>
    <w:p w14:paraId="49C3465B" w14:textId="77777777" w:rsidR="00830C1B" w:rsidRDefault="004B0357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QoQ</w:t>
      </w:r>
      <w:r>
        <w:rPr>
          <w:rFonts w:cs="Calibri"/>
        </w:rPr>
        <w:t>：</w:t>
      </w:r>
      <w:r>
        <w:rPr>
          <w:rFonts w:cs="Calibri"/>
        </w:rPr>
        <w:t>+4.87pp</w:t>
      </w:r>
    </w:p>
    <w:p w14:paraId="636EF862" w14:textId="77777777" w:rsidR="00830C1B" w:rsidRDefault="004B0357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YoY</w:t>
      </w:r>
      <w:r>
        <w:rPr>
          <w:rFonts w:cs="Calibri"/>
        </w:rPr>
        <w:t>：</w:t>
      </w:r>
      <w:r>
        <w:rPr>
          <w:rFonts w:cs="Calibri"/>
        </w:rPr>
        <w:t>+3.45pp</w:t>
      </w:r>
    </w:p>
    <w:p w14:paraId="333BB3F3" w14:textId="77777777" w:rsidR="00830C1B" w:rsidRDefault="004B0357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4Q</w:t>
      </w:r>
      <w:r>
        <w:rPr>
          <w:rFonts w:cs="Calibri"/>
        </w:rPr>
        <w:t>累计：</w:t>
      </w:r>
      <w:r>
        <w:rPr>
          <w:rFonts w:cs="Calibri"/>
        </w:rPr>
        <w:t>+3.45pp</w:t>
      </w:r>
    </w:p>
    <w:p w14:paraId="14733DC8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持股数量趋势：强烈上升</w:t>
      </w:r>
    </w:p>
    <w:p w14:paraId="2415E698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持股比例趋势：强烈上升</w:t>
      </w:r>
    </w:p>
    <w:p w14:paraId="773C0CE3" w14:textId="77777777" w:rsidR="00830C1B" w:rsidRDefault="004B0357">
      <w:pPr>
        <w:jc w:val="both"/>
      </w:pPr>
      <w:r>
        <w:rPr>
          <w:rFonts w:cs="Calibri"/>
        </w:rPr>
        <w:t>解读：持股比例变化使用百分点口径，避免与百分比变化混淆。持股比例环比</w:t>
      </w:r>
      <w:r>
        <w:rPr>
          <w:rFonts w:cs="Calibri"/>
        </w:rPr>
        <w:t xml:space="preserve"> +4.87pp</w:t>
      </w:r>
      <w:r>
        <w:rPr>
          <w:rFonts w:cs="Calibri"/>
        </w:rPr>
        <w:t>、过去</w:t>
      </w:r>
      <w:r>
        <w:rPr>
          <w:rFonts w:cs="Calibri"/>
        </w:rPr>
        <w:t>4</w:t>
      </w:r>
      <w:r>
        <w:rPr>
          <w:rFonts w:cs="Calibri"/>
        </w:rPr>
        <w:t>个季度累计</w:t>
      </w:r>
      <w:r>
        <w:rPr>
          <w:rFonts w:cs="Calibri"/>
        </w:rPr>
        <w:t xml:space="preserve"> +3.45pp</w:t>
      </w:r>
      <w:r>
        <w:rPr>
          <w:rFonts w:cs="Calibri"/>
        </w:rPr>
        <w:t>。</w:t>
      </w:r>
    </w:p>
    <w:p w14:paraId="55C75F18" w14:textId="77777777" w:rsidR="00830C1B" w:rsidRDefault="00830C1B">
      <w:pPr>
        <w:pBdr>
          <w:bottom w:val="single" w:sz="6" w:space="1" w:color="auto"/>
        </w:pBdr>
      </w:pPr>
    </w:p>
    <w:p w14:paraId="5C97F4A8" w14:textId="77777777" w:rsidR="00830C1B" w:rsidRDefault="004B0357">
      <w:pPr>
        <w:pStyle w:val="Heading2"/>
      </w:pPr>
      <w:bookmarkStart w:id="8" w:name="_Toc237759584"/>
      <w:r>
        <w:rPr>
          <w:rFonts w:ascii="Arial" w:eastAsia="Microsoft YaHei" w:hAnsi="Arial" w:cs="Arial"/>
        </w:rPr>
        <w:t xml:space="preserve">6. </w:t>
      </w:r>
      <w:r>
        <w:rPr>
          <w:rFonts w:ascii="Arial" w:eastAsia="Microsoft YaHei" w:hAnsi="Arial" w:cs="Arial"/>
        </w:rPr>
        <w:t>筹码集中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扩散分析</w:t>
      </w:r>
      <w:bookmarkEnd w:id="8"/>
    </w:p>
    <w:p w14:paraId="4C91C22C" w14:textId="77777777" w:rsidR="00830C1B" w:rsidRDefault="004B0357">
      <w:pPr>
        <w:jc w:val="both"/>
      </w:pPr>
      <w:r>
        <w:rPr>
          <w:rFonts w:cs="Calibri"/>
        </w:rPr>
        <w:t>三个观察变量（</w:t>
      </w:r>
      <w:r>
        <w:rPr>
          <w:rFonts w:cs="Calibri"/>
        </w:rPr>
        <w:t>A=</w:t>
      </w:r>
      <w:r>
        <w:rPr>
          <w:rFonts w:cs="Calibri"/>
        </w:rPr>
        <w:t>机构数量，</w:t>
      </w:r>
      <w:r>
        <w:rPr>
          <w:rFonts w:cs="Calibri"/>
        </w:rPr>
        <w:t>B=</w:t>
      </w:r>
      <w:r>
        <w:rPr>
          <w:rFonts w:cs="Calibri"/>
        </w:rPr>
        <w:t>持股数量，</w:t>
      </w:r>
      <w:r>
        <w:rPr>
          <w:rFonts w:cs="Calibri"/>
        </w:rPr>
        <w:t>C=</w:t>
      </w:r>
      <w:r>
        <w:rPr>
          <w:rFonts w:cs="Calibri"/>
        </w:rPr>
        <w:t>持股比例）：</w:t>
      </w:r>
    </w:p>
    <w:p w14:paraId="0ED2F677" w14:textId="77777777" w:rsidR="00830C1B" w:rsidRDefault="004B0357">
      <w:pPr>
        <w:spacing w:after="60"/>
        <w:ind w:left="283" w:hanging="283"/>
      </w:pPr>
      <w:r>
        <w:rPr>
          <w:rFonts w:cs="Calibri"/>
        </w:rPr>
        <w:t>• A</w:t>
      </w:r>
      <w:r>
        <w:rPr>
          <w:rFonts w:cs="Calibri"/>
        </w:rPr>
        <w:t>（机构数量）方向：下降</w:t>
      </w:r>
    </w:p>
    <w:p w14:paraId="4E45FCF6" w14:textId="77777777" w:rsidR="00830C1B" w:rsidRDefault="004B0357">
      <w:pPr>
        <w:spacing w:after="60"/>
        <w:ind w:left="283" w:hanging="283"/>
      </w:pPr>
      <w:r>
        <w:rPr>
          <w:rFonts w:cs="Calibri"/>
        </w:rPr>
        <w:t>• B</w:t>
      </w:r>
      <w:r>
        <w:rPr>
          <w:rFonts w:cs="Calibri"/>
        </w:rPr>
        <w:t>（持股数量）方向：强烈上升</w:t>
      </w:r>
    </w:p>
    <w:p w14:paraId="6E063903" w14:textId="77777777" w:rsidR="00830C1B" w:rsidRDefault="004B0357">
      <w:pPr>
        <w:spacing w:after="60"/>
        <w:ind w:left="283" w:hanging="283"/>
      </w:pPr>
      <w:r>
        <w:rPr>
          <w:rFonts w:cs="Calibri"/>
        </w:rPr>
        <w:t>• C</w:t>
      </w:r>
      <w:r>
        <w:rPr>
          <w:rFonts w:cs="Calibri"/>
        </w:rPr>
        <w:t>（持股比例）方向：强烈上升</w:t>
      </w:r>
    </w:p>
    <w:p w14:paraId="7FC62B83" w14:textId="77777777" w:rsidR="00830C1B" w:rsidRDefault="004B0357">
      <w:r>
        <w:rPr>
          <w:rFonts w:cs="Calibri"/>
          <w:b/>
        </w:rPr>
        <w:t>情况</w:t>
      </w:r>
      <w:r>
        <w:rPr>
          <w:rFonts w:cs="Calibri"/>
          <w:b/>
        </w:rPr>
        <w:t>⑤</w:t>
      </w:r>
      <w:r>
        <w:rPr>
          <w:rFonts w:cs="Calibri"/>
          <w:b/>
        </w:rPr>
        <w:t>：潜在集中</w:t>
      </w:r>
      <w:r>
        <w:br/>
      </w:r>
      <w:r>
        <w:rPr>
          <w:rFonts w:cs="Calibri"/>
        </w:rPr>
        <w:t>解释：参与机构数量减少，但整体持股进一步集中；这是</w:t>
      </w:r>
      <w:r>
        <w:rPr>
          <w:rFonts w:cs="Calibri"/>
        </w:rPr>
        <w:t>“</w:t>
      </w:r>
      <w:r>
        <w:rPr>
          <w:rFonts w:cs="Calibri"/>
        </w:rPr>
        <w:t>集中代理信号</w:t>
      </w:r>
      <w:r>
        <w:rPr>
          <w:rFonts w:cs="Calibri"/>
        </w:rPr>
        <w:t>”</w:t>
      </w:r>
      <w:r>
        <w:rPr>
          <w:rFonts w:cs="Calibri"/>
        </w:rPr>
        <w:t>，不能证明少数大型机构吸收了筹码。</w:t>
      </w:r>
    </w:p>
    <w:p w14:paraId="70803181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筹码迁移评分：</w:t>
      </w:r>
      <w:r>
        <w:rPr>
          <w:rFonts w:cs="Calibri"/>
        </w:rPr>
        <w:t>+0.33</w:t>
      </w:r>
      <w:r>
        <w:rPr>
          <w:rFonts w:cs="Calibri"/>
        </w:rPr>
        <w:t>（</w:t>
      </w:r>
      <w:r>
        <w:rPr>
          <w:rFonts w:cs="Calibri"/>
        </w:rPr>
        <w:t xml:space="preserve">-100~+100 </w:t>
      </w:r>
      <w:r>
        <w:rPr>
          <w:rFonts w:cs="Calibri"/>
        </w:rPr>
        <w:t>口径</w:t>
      </w:r>
      <w:r>
        <w:rPr>
          <w:rFonts w:cs="Calibri"/>
        </w:rPr>
        <w:t xml:space="preserve"> +33</w:t>
      </w:r>
      <w:r>
        <w:rPr>
          <w:rFonts w:cs="Calibri"/>
        </w:rPr>
        <w:t>）</w:t>
      </w:r>
    </w:p>
    <w:p w14:paraId="00F817E1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迁移分段：中性</w:t>
      </w:r>
    </w:p>
    <w:p w14:paraId="48B8C983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迁移状态：</w:t>
      </w:r>
      <w:r>
        <w:rPr>
          <w:rFonts w:cs="Calibri"/>
        </w:rPr>
        <w:t>CONCENTRATION</w:t>
      </w:r>
    </w:p>
    <w:p w14:paraId="741777F6" w14:textId="77777777" w:rsidR="00830C1B" w:rsidRDefault="004B0357">
      <w:pPr>
        <w:jc w:val="both"/>
      </w:pPr>
      <w:r>
        <w:rPr>
          <w:rFonts w:cs="Calibri"/>
          <w:b/>
        </w:rPr>
        <w:t>重要边界</w:t>
      </w:r>
      <w:r>
        <w:rPr>
          <w:rFonts w:cs="Calibri"/>
        </w:rPr>
        <w:t>：以上均为</w:t>
      </w:r>
      <w:r>
        <w:rPr>
          <w:rFonts w:cs="Calibri"/>
        </w:rPr>
        <w:t>“</w:t>
      </w:r>
      <w:r>
        <w:rPr>
          <w:rFonts w:cs="Calibri"/>
        </w:rPr>
        <w:t>集中</w:t>
      </w:r>
      <w:r>
        <w:rPr>
          <w:rFonts w:cs="Calibri"/>
        </w:rPr>
        <w:t>/</w:t>
      </w:r>
      <w:r>
        <w:rPr>
          <w:rFonts w:cs="Calibri"/>
        </w:rPr>
        <w:t>扩散代理信号</w:t>
      </w:r>
      <w:r>
        <w:rPr>
          <w:rFonts w:cs="Calibri"/>
        </w:rPr>
        <w:t>”</w:t>
      </w:r>
      <w:r>
        <w:rPr>
          <w:rFonts w:cs="Calibri"/>
        </w:rPr>
        <w:t>，而非机构锁仓或具体机构行为的证据。</w:t>
      </w:r>
      <w:r>
        <w:rPr>
          <w:rFonts w:cs="Calibri"/>
        </w:rPr>
        <w:t>[C]</w:t>
      </w:r>
    </w:p>
    <w:p w14:paraId="436207B6" w14:textId="77777777" w:rsidR="00830C1B" w:rsidRDefault="00830C1B">
      <w:pPr>
        <w:pBdr>
          <w:bottom w:val="single" w:sz="6" w:space="1" w:color="auto"/>
        </w:pBdr>
      </w:pPr>
    </w:p>
    <w:p w14:paraId="22CEA7F6" w14:textId="77777777" w:rsidR="00830C1B" w:rsidRDefault="004B0357">
      <w:pPr>
        <w:pStyle w:val="Heading2"/>
      </w:pPr>
      <w:bookmarkStart w:id="9" w:name="_Toc237759585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筹码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价格关系</w:t>
      </w:r>
      <w:bookmarkEnd w:id="9"/>
    </w:p>
    <w:p w14:paraId="6D0E4FD9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Chip </w:t>
      </w:r>
      <w:r>
        <w:rPr>
          <w:rFonts w:cs="Calibri"/>
        </w:rPr>
        <w:t>方向：偏多</w:t>
      </w:r>
      <w:r>
        <w:rPr>
          <w:rFonts w:cs="Calibri"/>
        </w:rPr>
        <w:t>/</w:t>
      </w:r>
      <w:r>
        <w:rPr>
          <w:rFonts w:cs="Calibri"/>
        </w:rPr>
        <w:t>上行</w:t>
      </w:r>
    </w:p>
    <w:p w14:paraId="591A1C9C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Price </w:t>
      </w:r>
      <w:r>
        <w:rPr>
          <w:rFonts w:cs="Calibri"/>
        </w:rPr>
        <w:t>方向：偏空</w:t>
      </w:r>
      <w:r>
        <w:rPr>
          <w:rFonts w:cs="Calibri"/>
        </w:rPr>
        <w:t>/</w:t>
      </w:r>
      <w:r>
        <w:rPr>
          <w:rFonts w:cs="Calibri"/>
        </w:rPr>
        <w:t>下行</w:t>
      </w:r>
    </w:p>
    <w:p w14:paraId="59C87259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季度涨跌幅：</w:t>
      </w:r>
      <w:r>
        <w:rPr>
          <w:rFonts w:cs="Calibri"/>
        </w:rPr>
        <w:t>-15.81%</w:t>
      </w:r>
    </w:p>
    <w:p w14:paraId="79D7ACD3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关系判定：</w:t>
      </w:r>
      <w:r>
        <w:rPr>
          <w:rFonts w:cs="Calibri"/>
          <w:b/>
        </w:rPr>
        <w:t>逆势集中</w:t>
      </w:r>
      <w:r>
        <w:rPr>
          <w:rFonts w:cs="Calibri"/>
        </w:rPr>
        <w:t>（筹码改善但价格下跌，需验证是底部吸筹还是被动集中）</w:t>
      </w:r>
    </w:p>
    <w:p w14:paraId="620E1B74" w14:textId="77777777" w:rsidR="00830C1B" w:rsidRDefault="00830C1B">
      <w:pPr>
        <w:pBdr>
          <w:bottom w:val="single" w:sz="6" w:space="1" w:color="auto"/>
        </w:pBdr>
      </w:pPr>
    </w:p>
    <w:p w14:paraId="52401445" w14:textId="77777777" w:rsidR="00830C1B" w:rsidRDefault="004B0357">
      <w:pPr>
        <w:pStyle w:val="Heading2"/>
      </w:pPr>
      <w:bookmarkStart w:id="10" w:name="_Toc237759586"/>
      <w:r>
        <w:rPr>
          <w:rFonts w:ascii="Arial" w:eastAsia="Microsoft YaHei" w:hAnsi="Arial" w:cs="Arial"/>
        </w:rPr>
        <w:lastRenderedPageBreak/>
        <w:t xml:space="preserve">8. </w:t>
      </w:r>
      <w:r>
        <w:rPr>
          <w:rFonts w:ascii="Arial" w:eastAsia="Microsoft YaHei" w:hAnsi="Arial" w:cs="Arial"/>
        </w:rPr>
        <w:t>历史周期复盘（近</w:t>
      </w:r>
      <w:r>
        <w:rPr>
          <w:rFonts w:ascii="Arial" w:eastAsia="Microsoft YaHei" w:hAnsi="Arial" w:cs="Arial"/>
        </w:rPr>
        <w:t>12</w:t>
      </w:r>
      <w:r>
        <w:rPr>
          <w:rFonts w:ascii="Arial" w:eastAsia="Microsoft YaHei" w:hAnsi="Arial" w:cs="Arial"/>
        </w:rPr>
        <w:t>个季度）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30C1B" w14:paraId="6F4D22D4" w14:textId="77777777">
        <w:trPr>
          <w:tblHeader/>
        </w:trPr>
        <w:tc>
          <w:tcPr>
            <w:tcW w:w="1560" w:type="dxa"/>
            <w:shd w:val="clear" w:color="auto" w:fill="2F5496"/>
          </w:tcPr>
          <w:p w14:paraId="7F5680D1" w14:textId="77777777" w:rsidR="00830C1B" w:rsidRDefault="004B0357">
            <w:r>
              <w:rPr>
                <w:rFonts w:cs="Calibri"/>
                <w:b/>
                <w:color w:val="FFFFFF"/>
                <w:sz w:val="19"/>
              </w:rPr>
              <w:t>季度</w:t>
            </w:r>
          </w:p>
        </w:tc>
        <w:tc>
          <w:tcPr>
            <w:tcW w:w="1560" w:type="dxa"/>
            <w:shd w:val="clear" w:color="auto" w:fill="2F5496"/>
          </w:tcPr>
          <w:p w14:paraId="3498C564" w14:textId="77777777" w:rsidR="00830C1B" w:rsidRDefault="004B035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机构数量</w:t>
            </w:r>
          </w:p>
        </w:tc>
        <w:tc>
          <w:tcPr>
            <w:tcW w:w="1560" w:type="dxa"/>
            <w:shd w:val="clear" w:color="auto" w:fill="2F5496"/>
          </w:tcPr>
          <w:p w14:paraId="63D963B8" w14:textId="77777777" w:rsidR="00830C1B" w:rsidRDefault="004B035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持股比例</w:t>
            </w:r>
            <w:r>
              <w:rPr>
                <w:rFonts w:cs="Calibri"/>
                <w:b/>
                <w:color w:val="FFFFFF"/>
                <w:sz w:val="19"/>
              </w:rPr>
              <w:t>%</w:t>
            </w:r>
          </w:p>
        </w:tc>
        <w:tc>
          <w:tcPr>
            <w:tcW w:w="1560" w:type="dxa"/>
            <w:shd w:val="clear" w:color="auto" w:fill="2F5496"/>
          </w:tcPr>
          <w:p w14:paraId="25D3743E" w14:textId="77777777" w:rsidR="00830C1B" w:rsidRDefault="004B035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Chip Score</w:t>
            </w:r>
          </w:p>
        </w:tc>
        <w:tc>
          <w:tcPr>
            <w:tcW w:w="1560" w:type="dxa"/>
            <w:shd w:val="clear" w:color="auto" w:fill="2F5496"/>
          </w:tcPr>
          <w:p w14:paraId="3C1F45AA" w14:textId="77777777" w:rsidR="00830C1B" w:rsidRDefault="004B0357">
            <w:r>
              <w:rPr>
                <w:rFonts w:cs="Calibri"/>
                <w:b/>
                <w:color w:val="FFFFFF"/>
                <w:sz w:val="19"/>
              </w:rPr>
              <w:t>周期阶段</w:t>
            </w:r>
          </w:p>
        </w:tc>
        <w:tc>
          <w:tcPr>
            <w:tcW w:w="1560" w:type="dxa"/>
            <w:shd w:val="clear" w:color="auto" w:fill="2F5496"/>
          </w:tcPr>
          <w:p w14:paraId="16C06E1E" w14:textId="77777777" w:rsidR="00830C1B" w:rsidRDefault="004B035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季度涨跌</w:t>
            </w:r>
            <w:r>
              <w:rPr>
                <w:rFonts w:cs="Calibri"/>
                <w:b/>
                <w:color w:val="FFFFFF"/>
                <w:sz w:val="19"/>
              </w:rPr>
              <w:t>%</w:t>
            </w:r>
          </w:p>
        </w:tc>
      </w:tr>
      <w:tr w:rsidR="00830C1B" w14:paraId="2ED2F857" w14:textId="77777777">
        <w:tc>
          <w:tcPr>
            <w:tcW w:w="1560" w:type="dxa"/>
          </w:tcPr>
          <w:p w14:paraId="7D3E061D" w14:textId="77777777" w:rsidR="00830C1B" w:rsidRDefault="004B0357">
            <w:r>
              <w:rPr>
                <w:rFonts w:cs="Calibri"/>
                <w:sz w:val="19"/>
              </w:rPr>
              <w:t>2023/Q3</w:t>
            </w:r>
          </w:p>
        </w:tc>
        <w:tc>
          <w:tcPr>
            <w:tcW w:w="1560" w:type="dxa"/>
          </w:tcPr>
          <w:p w14:paraId="4F7D8457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78</w:t>
            </w:r>
          </w:p>
        </w:tc>
        <w:tc>
          <w:tcPr>
            <w:tcW w:w="1560" w:type="dxa"/>
          </w:tcPr>
          <w:p w14:paraId="1D4AD68C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41.19</w:t>
            </w:r>
          </w:p>
        </w:tc>
        <w:tc>
          <w:tcPr>
            <w:tcW w:w="1560" w:type="dxa"/>
          </w:tcPr>
          <w:p w14:paraId="5B1583A3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43</w:t>
            </w:r>
          </w:p>
        </w:tc>
        <w:tc>
          <w:tcPr>
            <w:tcW w:w="1560" w:type="dxa"/>
          </w:tcPr>
          <w:p w14:paraId="6367E8B1" w14:textId="77777777" w:rsidR="00830C1B" w:rsidRDefault="004B0357">
            <w:r>
              <w:rPr>
                <w:rFonts w:cs="Calibri"/>
                <w:sz w:val="19"/>
              </w:rPr>
              <w:t xml:space="preserve">09 </w:t>
            </w:r>
            <w:r>
              <w:rPr>
                <w:rFonts w:cs="Calibri"/>
                <w:sz w:val="19"/>
              </w:rPr>
              <w:t>退潮（</w:t>
            </w:r>
            <w:r>
              <w:rPr>
                <w:rFonts w:cs="Calibri"/>
                <w:sz w:val="19"/>
              </w:rPr>
              <w:t>←01→09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2456BE65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-9.90%</w:t>
            </w:r>
          </w:p>
        </w:tc>
      </w:tr>
      <w:tr w:rsidR="00830C1B" w14:paraId="01545465" w14:textId="77777777">
        <w:tc>
          <w:tcPr>
            <w:tcW w:w="1560" w:type="dxa"/>
          </w:tcPr>
          <w:p w14:paraId="6E8DFEAA" w14:textId="77777777" w:rsidR="00830C1B" w:rsidRDefault="004B0357">
            <w:r>
              <w:rPr>
                <w:rFonts w:cs="Calibri"/>
                <w:sz w:val="19"/>
              </w:rPr>
              <w:t>2023/Q4</w:t>
            </w:r>
          </w:p>
        </w:tc>
        <w:tc>
          <w:tcPr>
            <w:tcW w:w="1560" w:type="dxa"/>
          </w:tcPr>
          <w:p w14:paraId="586FB086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60</w:t>
            </w:r>
          </w:p>
        </w:tc>
        <w:tc>
          <w:tcPr>
            <w:tcW w:w="1560" w:type="dxa"/>
          </w:tcPr>
          <w:p w14:paraId="4FD3ECC1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40.46</w:t>
            </w:r>
          </w:p>
        </w:tc>
        <w:tc>
          <w:tcPr>
            <w:tcW w:w="1560" w:type="dxa"/>
          </w:tcPr>
          <w:p w14:paraId="102E8D6B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30</w:t>
            </w:r>
          </w:p>
        </w:tc>
        <w:tc>
          <w:tcPr>
            <w:tcW w:w="1560" w:type="dxa"/>
          </w:tcPr>
          <w:p w14:paraId="64F40B86" w14:textId="77777777" w:rsidR="00830C1B" w:rsidRDefault="004B0357">
            <w:r>
              <w:rPr>
                <w:rFonts w:cs="Calibri"/>
                <w:sz w:val="19"/>
              </w:rPr>
              <w:t xml:space="preserve">09 </w:t>
            </w:r>
            <w:r>
              <w:rPr>
                <w:rFonts w:cs="Calibri"/>
                <w:sz w:val="19"/>
              </w:rPr>
              <w:t>退潮（</w:t>
            </w:r>
            <w:r>
              <w:rPr>
                <w:rFonts w:cs="Calibri"/>
                <w:sz w:val="19"/>
              </w:rPr>
              <w:t>←nan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016B02BA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-10.71%</w:t>
            </w:r>
          </w:p>
        </w:tc>
      </w:tr>
      <w:tr w:rsidR="00830C1B" w14:paraId="1E103DB7" w14:textId="77777777">
        <w:tc>
          <w:tcPr>
            <w:tcW w:w="1560" w:type="dxa"/>
          </w:tcPr>
          <w:p w14:paraId="1B364A5C" w14:textId="77777777" w:rsidR="00830C1B" w:rsidRDefault="004B0357">
            <w:r>
              <w:rPr>
                <w:rFonts w:cs="Calibri"/>
                <w:sz w:val="19"/>
              </w:rPr>
              <w:t>2024/Q1</w:t>
            </w:r>
          </w:p>
        </w:tc>
        <w:tc>
          <w:tcPr>
            <w:tcW w:w="1560" w:type="dxa"/>
          </w:tcPr>
          <w:p w14:paraId="0CCF7C15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58</w:t>
            </w:r>
          </w:p>
        </w:tc>
        <w:tc>
          <w:tcPr>
            <w:tcW w:w="1560" w:type="dxa"/>
          </w:tcPr>
          <w:p w14:paraId="0ED7F5DB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40.64</w:t>
            </w:r>
          </w:p>
        </w:tc>
        <w:tc>
          <w:tcPr>
            <w:tcW w:w="1560" w:type="dxa"/>
          </w:tcPr>
          <w:p w14:paraId="0DFF8194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42</w:t>
            </w:r>
          </w:p>
        </w:tc>
        <w:tc>
          <w:tcPr>
            <w:tcW w:w="1560" w:type="dxa"/>
          </w:tcPr>
          <w:p w14:paraId="1E1AD0A3" w14:textId="77777777" w:rsidR="00830C1B" w:rsidRDefault="004B0357">
            <w:r>
              <w:rPr>
                <w:rFonts w:cs="Calibri"/>
                <w:sz w:val="19"/>
              </w:rPr>
              <w:t xml:space="preserve">01 </w:t>
            </w:r>
            <w:r>
              <w:rPr>
                <w:rFonts w:cs="Calibri"/>
                <w:sz w:val="19"/>
              </w:rPr>
              <w:t>分散（</w:t>
            </w:r>
            <w:r>
              <w:rPr>
                <w:rFonts w:cs="Calibri"/>
                <w:sz w:val="19"/>
              </w:rPr>
              <w:t>←09→01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05C2D273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-28.31%</w:t>
            </w:r>
          </w:p>
        </w:tc>
      </w:tr>
      <w:tr w:rsidR="00830C1B" w14:paraId="1885E2B8" w14:textId="77777777">
        <w:tc>
          <w:tcPr>
            <w:tcW w:w="1560" w:type="dxa"/>
          </w:tcPr>
          <w:p w14:paraId="701C4C96" w14:textId="77777777" w:rsidR="00830C1B" w:rsidRDefault="004B0357">
            <w:r>
              <w:rPr>
                <w:rFonts w:cs="Calibri"/>
                <w:sz w:val="19"/>
              </w:rPr>
              <w:t>2024/Q2</w:t>
            </w:r>
          </w:p>
        </w:tc>
        <w:tc>
          <w:tcPr>
            <w:tcW w:w="1560" w:type="dxa"/>
          </w:tcPr>
          <w:p w14:paraId="08B31A68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56</w:t>
            </w:r>
          </w:p>
        </w:tc>
        <w:tc>
          <w:tcPr>
            <w:tcW w:w="1560" w:type="dxa"/>
          </w:tcPr>
          <w:p w14:paraId="5A08C60C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42.62</w:t>
            </w:r>
          </w:p>
        </w:tc>
        <w:tc>
          <w:tcPr>
            <w:tcW w:w="1560" w:type="dxa"/>
          </w:tcPr>
          <w:p w14:paraId="1DA29207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69</w:t>
            </w:r>
          </w:p>
        </w:tc>
        <w:tc>
          <w:tcPr>
            <w:tcW w:w="1560" w:type="dxa"/>
          </w:tcPr>
          <w:p w14:paraId="00C8DDF4" w14:textId="77777777" w:rsidR="00830C1B" w:rsidRDefault="004B0357">
            <w:r>
              <w:rPr>
                <w:rFonts w:cs="Calibri"/>
                <w:sz w:val="19"/>
              </w:rPr>
              <w:t xml:space="preserve">01 </w:t>
            </w:r>
            <w:r>
              <w:rPr>
                <w:rFonts w:cs="Calibri"/>
                <w:sz w:val="19"/>
              </w:rPr>
              <w:t>分散（</w:t>
            </w:r>
            <w:r>
              <w:rPr>
                <w:rFonts w:cs="Calibri"/>
                <w:sz w:val="19"/>
              </w:rPr>
              <w:t>←nan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34F79117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+17.60%</w:t>
            </w:r>
          </w:p>
        </w:tc>
      </w:tr>
      <w:tr w:rsidR="00830C1B" w14:paraId="180054BC" w14:textId="77777777">
        <w:tc>
          <w:tcPr>
            <w:tcW w:w="1560" w:type="dxa"/>
          </w:tcPr>
          <w:p w14:paraId="63577722" w14:textId="77777777" w:rsidR="00830C1B" w:rsidRDefault="004B0357">
            <w:r>
              <w:rPr>
                <w:rFonts w:cs="Calibri"/>
                <w:sz w:val="19"/>
              </w:rPr>
              <w:t>2024/Q3</w:t>
            </w:r>
          </w:p>
        </w:tc>
        <w:tc>
          <w:tcPr>
            <w:tcW w:w="1560" w:type="dxa"/>
          </w:tcPr>
          <w:p w14:paraId="2D824415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55</w:t>
            </w:r>
          </w:p>
        </w:tc>
        <w:tc>
          <w:tcPr>
            <w:tcW w:w="1560" w:type="dxa"/>
          </w:tcPr>
          <w:p w14:paraId="797AAAFF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43.08</w:t>
            </w:r>
          </w:p>
        </w:tc>
        <w:tc>
          <w:tcPr>
            <w:tcW w:w="1560" w:type="dxa"/>
          </w:tcPr>
          <w:p w14:paraId="71FF02E0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60</w:t>
            </w:r>
          </w:p>
        </w:tc>
        <w:tc>
          <w:tcPr>
            <w:tcW w:w="1560" w:type="dxa"/>
          </w:tcPr>
          <w:p w14:paraId="5F1E5085" w14:textId="77777777" w:rsidR="00830C1B" w:rsidRDefault="004B0357">
            <w:r>
              <w:rPr>
                <w:rFonts w:cs="Calibri"/>
                <w:sz w:val="19"/>
              </w:rPr>
              <w:t xml:space="preserve">01 </w:t>
            </w:r>
            <w:r>
              <w:rPr>
                <w:rFonts w:cs="Calibri"/>
                <w:sz w:val="19"/>
              </w:rPr>
              <w:t>分散（</w:t>
            </w:r>
            <w:r>
              <w:rPr>
                <w:rFonts w:cs="Calibri"/>
                <w:sz w:val="19"/>
              </w:rPr>
              <w:t>←nan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2903F5FB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+32.12%</w:t>
            </w:r>
          </w:p>
        </w:tc>
      </w:tr>
      <w:tr w:rsidR="00830C1B" w14:paraId="562CB91E" w14:textId="77777777">
        <w:tc>
          <w:tcPr>
            <w:tcW w:w="1560" w:type="dxa"/>
          </w:tcPr>
          <w:p w14:paraId="5FBF6CC3" w14:textId="77777777" w:rsidR="00830C1B" w:rsidRDefault="004B0357">
            <w:r>
              <w:rPr>
                <w:rFonts w:cs="Calibri"/>
                <w:sz w:val="19"/>
              </w:rPr>
              <w:t>2024/Q4</w:t>
            </w:r>
          </w:p>
        </w:tc>
        <w:tc>
          <w:tcPr>
            <w:tcW w:w="1560" w:type="dxa"/>
          </w:tcPr>
          <w:p w14:paraId="4DBC6515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55</w:t>
            </w:r>
          </w:p>
        </w:tc>
        <w:tc>
          <w:tcPr>
            <w:tcW w:w="1560" w:type="dxa"/>
          </w:tcPr>
          <w:p w14:paraId="4F7EB437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41.72</w:t>
            </w:r>
          </w:p>
        </w:tc>
        <w:tc>
          <w:tcPr>
            <w:tcW w:w="1560" w:type="dxa"/>
          </w:tcPr>
          <w:p w14:paraId="4AD476CD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38</w:t>
            </w:r>
          </w:p>
        </w:tc>
        <w:tc>
          <w:tcPr>
            <w:tcW w:w="1560" w:type="dxa"/>
          </w:tcPr>
          <w:p w14:paraId="53DE61A0" w14:textId="77777777" w:rsidR="00830C1B" w:rsidRDefault="004B0357">
            <w:r>
              <w:rPr>
                <w:rFonts w:cs="Calibri"/>
                <w:sz w:val="19"/>
              </w:rPr>
              <w:t xml:space="preserve">09 </w:t>
            </w:r>
            <w:r>
              <w:rPr>
                <w:rFonts w:cs="Calibri"/>
                <w:sz w:val="19"/>
              </w:rPr>
              <w:t>退潮（</w:t>
            </w:r>
            <w:r>
              <w:rPr>
                <w:rFonts w:cs="Calibri"/>
                <w:sz w:val="19"/>
              </w:rPr>
              <w:t>←01→09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15541816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-26.80%</w:t>
            </w:r>
          </w:p>
        </w:tc>
      </w:tr>
      <w:tr w:rsidR="00830C1B" w14:paraId="1F921E8F" w14:textId="77777777">
        <w:tc>
          <w:tcPr>
            <w:tcW w:w="1560" w:type="dxa"/>
          </w:tcPr>
          <w:p w14:paraId="0CC6856D" w14:textId="77777777" w:rsidR="00830C1B" w:rsidRDefault="004B0357">
            <w:r>
              <w:rPr>
                <w:rFonts w:cs="Calibri"/>
                <w:sz w:val="19"/>
              </w:rPr>
              <w:t>2025/Q1</w:t>
            </w:r>
          </w:p>
        </w:tc>
        <w:tc>
          <w:tcPr>
            <w:tcW w:w="1560" w:type="dxa"/>
          </w:tcPr>
          <w:p w14:paraId="36F94BB0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54</w:t>
            </w:r>
          </w:p>
        </w:tc>
        <w:tc>
          <w:tcPr>
            <w:tcW w:w="1560" w:type="dxa"/>
          </w:tcPr>
          <w:p w14:paraId="14D97568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37.07</w:t>
            </w:r>
          </w:p>
        </w:tc>
        <w:tc>
          <w:tcPr>
            <w:tcW w:w="1560" w:type="dxa"/>
          </w:tcPr>
          <w:p w14:paraId="7579E1C8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25</w:t>
            </w:r>
          </w:p>
        </w:tc>
        <w:tc>
          <w:tcPr>
            <w:tcW w:w="1560" w:type="dxa"/>
          </w:tcPr>
          <w:p w14:paraId="5FD7AF0A" w14:textId="77777777" w:rsidR="00830C1B" w:rsidRDefault="004B0357">
            <w:r>
              <w:rPr>
                <w:rFonts w:cs="Calibri"/>
                <w:sz w:val="19"/>
              </w:rPr>
              <w:t xml:space="preserve">09 </w:t>
            </w:r>
            <w:r>
              <w:rPr>
                <w:rFonts w:cs="Calibri"/>
                <w:sz w:val="19"/>
              </w:rPr>
              <w:t>退潮（</w:t>
            </w:r>
            <w:r>
              <w:rPr>
                <w:rFonts w:cs="Calibri"/>
                <w:sz w:val="19"/>
              </w:rPr>
              <w:t>←nan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7062F65C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+12.08%</w:t>
            </w:r>
          </w:p>
        </w:tc>
      </w:tr>
      <w:tr w:rsidR="00830C1B" w14:paraId="76E89224" w14:textId="77777777">
        <w:tc>
          <w:tcPr>
            <w:tcW w:w="1560" w:type="dxa"/>
          </w:tcPr>
          <w:p w14:paraId="43AB2698" w14:textId="77777777" w:rsidR="00830C1B" w:rsidRDefault="004B0357">
            <w:r>
              <w:rPr>
                <w:rFonts w:cs="Calibri"/>
                <w:sz w:val="19"/>
              </w:rPr>
              <w:t>2025/Q2</w:t>
            </w:r>
          </w:p>
        </w:tc>
        <w:tc>
          <w:tcPr>
            <w:tcW w:w="1560" w:type="dxa"/>
          </w:tcPr>
          <w:p w14:paraId="17F47C79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54</w:t>
            </w:r>
          </w:p>
        </w:tc>
        <w:tc>
          <w:tcPr>
            <w:tcW w:w="1560" w:type="dxa"/>
          </w:tcPr>
          <w:p w14:paraId="1957ECF9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36.35</w:t>
            </w:r>
          </w:p>
        </w:tc>
        <w:tc>
          <w:tcPr>
            <w:tcW w:w="1560" w:type="dxa"/>
          </w:tcPr>
          <w:p w14:paraId="5D2ADD14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35</w:t>
            </w:r>
          </w:p>
        </w:tc>
        <w:tc>
          <w:tcPr>
            <w:tcW w:w="1560" w:type="dxa"/>
          </w:tcPr>
          <w:p w14:paraId="50703330" w14:textId="77777777" w:rsidR="00830C1B" w:rsidRDefault="004B0357">
            <w:r>
              <w:rPr>
                <w:rFonts w:cs="Calibri"/>
                <w:sz w:val="19"/>
              </w:rPr>
              <w:t xml:space="preserve">09 </w:t>
            </w:r>
            <w:r>
              <w:rPr>
                <w:rFonts w:cs="Calibri"/>
                <w:sz w:val="19"/>
              </w:rPr>
              <w:t>退潮（</w:t>
            </w:r>
            <w:r>
              <w:rPr>
                <w:rFonts w:cs="Calibri"/>
                <w:sz w:val="19"/>
              </w:rPr>
              <w:t>←nan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7B6899FE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+1.68%</w:t>
            </w:r>
          </w:p>
        </w:tc>
      </w:tr>
      <w:tr w:rsidR="00830C1B" w14:paraId="4ACAE30E" w14:textId="77777777">
        <w:tc>
          <w:tcPr>
            <w:tcW w:w="1560" w:type="dxa"/>
          </w:tcPr>
          <w:p w14:paraId="533B6C6F" w14:textId="77777777" w:rsidR="00830C1B" w:rsidRDefault="004B0357">
            <w:r>
              <w:rPr>
                <w:rFonts w:cs="Calibri"/>
                <w:sz w:val="19"/>
              </w:rPr>
              <w:t>2025/Q3</w:t>
            </w:r>
          </w:p>
        </w:tc>
        <w:tc>
          <w:tcPr>
            <w:tcW w:w="1560" w:type="dxa"/>
          </w:tcPr>
          <w:p w14:paraId="29BBB3D2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53</w:t>
            </w:r>
          </w:p>
        </w:tc>
        <w:tc>
          <w:tcPr>
            <w:tcW w:w="1560" w:type="dxa"/>
          </w:tcPr>
          <w:p w14:paraId="20EE3C6F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35.46</w:t>
            </w:r>
          </w:p>
        </w:tc>
        <w:tc>
          <w:tcPr>
            <w:tcW w:w="1560" w:type="dxa"/>
          </w:tcPr>
          <w:p w14:paraId="6E912A30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34</w:t>
            </w:r>
          </w:p>
        </w:tc>
        <w:tc>
          <w:tcPr>
            <w:tcW w:w="1560" w:type="dxa"/>
          </w:tcPr>
          <w:p w14:paraId="520C78A9" w14:textId="77777777" w:rsidR="00830C1B" w:rsidRDefault="004B0357">
            <w:r>
              <w:rPr>
                <w:rFonts w:cs="Calibri"/>
                <w:sz w:val="19"/>
              </w:rPr>
              <w:t xml:space="preserve">09 </w:t>
            </w:r>
            <w:r>
              <w:rPr>
                <w:rFonts w:cs="Calibri"/>
                <w:sz w:val="19"/>
              </w:rPr>
              <w:t>退潮（</w:t>
            </w:r>
            <w:r>
              <w:rPr>
                <w:rFonts w:cs="Calibri"/>
                <w:sz w:val="19"/>
              </w:rPr>
              <w:t>←nan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437DC3BC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-6.62%</w:t>
            </w:r>
          </w:p>
        </w:tc>
      </w:tr>
      <w:tr w:rsidR="00830C1B" w14:paraId="6D287B33" w14:textId="77777777">
        <w:tc>
          <w:tcPr>
            <w:tcW w:w="1560" w:type="dxa"/>
          </w:tcPr>
          <w:p w14:paraId="64756F2B" w14:textId="77777777" w:rsidR="00830C1B" w:rsidRDefault="004B0357">
            <w:r>
              <w:rPr>
                <w:rFonts w:cs="Calibri"/>
                <w:sz w:val="19"/>
              </w:rPr>
              <w:t>2025/Q4</w:t>
            </w:r>
          </w:p>
        </w:tc>
        <w:tc>
          <w:tcPr>
            <w:tcW w:w="1560" w:type="dxa"/>
          </w:tcPr>
          <w:p w14:paraId="0836B1B8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46</w:t>
            </w:r>
          </w:p>
        </w:tc>
        <w:tc>
          <w:tcPr>
            <w:tcW w:w="1560" w:type="dxa"/>
          </w:tcPr>
          <w:p w14:paraId="354CA54E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34.33</w:t>
            </w:r>
          </w:p>
        </w:tc>
        <w:tc>
          <w:tcPr>
            <w:tcW w:w="1560" w:type="dxa"/>
          </w:tcPr>
          <w:p w14:paraId="586E636C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24</w:t>
            </w:r>
          </w:p>
        </w:tc>
        <w:tc>
          <w:tcPr>
            <w:tcW w:w="1560" w:type="dxa"/>
          </w:tcPr>
          <w:p w14:paraId="1DE90805" w14:textId="77777777" w:rsidR="00830C1B" w:rsidRDefault="004B0357">
            <w:r>
              <w:rPr>
                <w:rFonts w:cs="Calibri"/>
                <w:sz w:val="19"/>
              </w:rPr>
              <w:t xml:space="preserve">09 </w:t>
            </w:r>
            <w:r>
              <w:rPr>
                <w:rFonts w:cs="Calibri"/>
                <w:sz w:val="19"/>
              </w:rPr>
              <w:t>退潮（</w:t>
            </w:r>
            <w:r>
              <w:rPr>
                <w:rFonts w:cs="Calibri"/>
                <w:sz w:val="19"/>
              </w:rPr>
              <w:t>←nan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0FE55CDE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-17.02%</w:t>
            </w:r>
          </w:p>
        </w:tc>
      </w:tr>
      <w:tr w:rsidR="00830C1B" w14:paraId="54CED629" w14:textId="77777777">
        <w:tc>
          <w:tcPr>
            <w:tcW w:w="1560" w:type="dxa"/>
          </w:tcPr>
          <w:p w14:paraId="450B4977" w14:textId="77777777" w:rsidR="00830C1B" w:rsidRDefault="004B0357">
            <w:r>
              <w:rPr>
                <w:rFonts w:cs="Calibri"/>
                <w:sz w:val="19"/>
              </w:rPr>
              <w:t>2026/Q1</w:t>
            </w:r>
          </w:p>
        </w:tc>
        <w:tc>
          <w:tcPr>
            <w:tcW w:w="1560" w:type="dxa"/>
          </w:tcPr>
          <w:p w14:paraId="5D0E3079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47</w:t>
            </w:r>
          </w:p>
        </w:tc>
        <w:tc>
          <w:tcPr>
            <w:tcW w:w="1560" w:type="dxa"/>
          </w:tcPr>
          <w:p w14:paraId="04666E6C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34.93</w:t>
            </w:r>
          </w:p>
        </w:tc>
        <w:tc>
          <w:tcPr>
            <w:tcW w:w="1560" w:type="dxa"/>
          </w:tcPr>
          <w:p w14:paraId="68A6DE41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55</w:t>
            </w:r>
          </w:p>
        </w:tc>
        <w:tc>
          <w:tcPr>
            <w:tcW w:w="1560" w:type="dxa"/>
          </w:tcPr>
          <w:p w14:paraId="64A94638" w14:textId="77777777" w:rsidR="00830C1B" w:rsidRDefault="004B0357">
            <w:r>
              <w:rPr>
                <w:rFonts w:cs="Calibri"/>
                <w:sz w:val="19"/>
              </w:rPr>
              <w:t xml:space="preserve">09 </w:t>
            </w:r>
            <w:r>
              <w:rPr>
                <w:rFonts w:cs="Calibri"/>
                <w:sz w:val="19"/>
              </w:rPr>
              <w:t>退潮（</w:t>
            </w:r>
            <w:r>
              <w:rPr>
                <w:rFonts w:cs="Calibri"/>
                <w:sz w:val="19"/>
              </w:rPr>
              <w:t>←nan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4CF7ADAE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+0.00%</w:t>
            </w:r>
          </w:p>
        </w:tc>
      </w:tr>
      <w:tr w:rsidR="00830C1B" w14:paraId="43AEA9F1" w14:textId="77777777">
        <w:tc>
          <w:tcPr>
            <w:tcW w:w="1560" w:type="dxa"/>
          </w:tcPr>
          <w:p w14:paraId="1DFAB698" w14:textId="77777777" w:rsidR="00830C1B" w:rsidRDefault="004B0357">
            <w:r>
              <w:rPr>
                <w:rFonts w:cs="Calibri"/>
                <w:sz w:val="19"/>
              </w:rPr>
              <w:t>2026/Q2</w:t>
            </w:r>
          </w:p>
        </w:tc>
        <w:tc>
          <w:tcPr>
            <w:tcW w:w="1560" w:type="dxa"/>
          </w:tcPr>
          <w:p w14:paraId="363B9493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43</w:t>
            </w:r>
          </w:p>
        </w:tc>
        <w:tc>
          <w:tcPr>
            <w:tcW w:w="1560" w:type="dxa"/>
          </w:tcPr>
          <w:p w14:paraId="26BF9D73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39.80</w:t>
            </w:r>
          </w:p>
        </w:tc>
        <w:tc>
          <w:tcPr>
            <w:tcW w:w="1560" w:type="dxa"/>
          </w:tcPr>
          <w:p w14:paraId="20081AA6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76</w:t>
            </w:r>
          </w:p>
        </w:tc>
        <w:tc>
          <w:tcPr>
            <w:tcW w:w="1560" w:type="dxa"/>
          </w:tcPr>
          <w:p w14:paraId="71F30BEC" w14:textId="77777777" w:rsidR="00830C1B" w:rsidRDefault="004B0357">
            <w:r>
              <w:rPr>
                <w:rFonts w:cs="Calibri"/>
                <w:sz w:val="19"/>
              </w:rPr>
              <w:t xml:space="preserve">09 </w:t>
            </w:r>
            <w:r>
              <w:rPr>
                <w:rFonts w:cs="Calibri"/>
                <w:sz w:val="19"/>
              </w:rPr>
              <w:t>退潮（</w:t>
            </w:r>
            <w:r>
              <w:rPr>
                <w:rFonts w:cs="Calibri"/>
                <w:sz w:val="19"/>
              </w:rPr>
              <w:t>←nan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141D50BA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-15.81%</w:t>
            </w:r>
          </w:p>
        </w:tc>
      </w:tr>
    </w:tbl>
    <w:p w14:paraId="1EBA4923" w14:textId="77777777" w:rsidR="00830C1B" w:rsidRDefault="004B0357">
      <w:pPr>
        <w:jc w:val="both"/>
      </w:pPr>
      <w:r>
        <w:rPr>
          <w:rFonts w:cs="Calibri"/>
        </w:rPr>
        <w:t>历史拐点提示：结合上表可观察筹码阶段（状态机确认）与价格涨跌的先后关系；单季度波动可能存在噪音，状态机采用连续</w:t>
      </w:r>
      <w:r>
        <w:rPr>
          <w:rFonts w:cs="Calibri"/>
        </w:rPr>
        <w:t>2</w:t>
      </w:r>
      <w:r>
        <w:rPr>
          <w:rFonts w:cs="Calibri"/>
        </w:rPr>
        <w:t>季度确认以降低误判。</w:t>
      </w:r>
    </w:p>
    <w:p w14:paraId="6B947B3C" w14:textId="77777777" w:rsidR="00830C1B" w:rsidRDefault="00830C1B">
      <w:pPr>
        <w:pBdr>
          <w:bottom w:val="single" w:sz="6" w:space="1" w:color="auto"/>
        </w:pBdr>
      </w:pPr>
    </w:p>
    <w:p w14:paraId="3A489D7D" w14:textId="77777777" w:rsidR="00830C1B" w:rsidRDefault="004B0357">
      <w:pPr>
        <w:pStyle w:val="Heading2"/>
      </w:pPr>
      <w:bookmarkStart w:id="11" w:name="_Toc237759587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当前筹码状态（筹码周期状态机）</w:t>
      </w:r>
      <w:bookmarkEnd w:id="11"/>
    </w:p>
    <w:p w14:paraId="0ECEA572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确认状态：</w:t>
      </w:r>
      <w:r>
        <w:rPr>
          <w:rFonts w:cs="Calibri"/>
          <w:b/>
        </w:rPr>
        <w:t xml:space="preserve">09 </w:t>
      </w:r>
      <w:r>
        <w:rPr>
          <w:rFonts w:cs="Calibri"/>
          <w:b/>
        </w:rPr>
        <w:t>退潮</w:t>
      </w:r>
      <w:r>
        <w:rPr>
          <w:rFonts w:cs="Calibri"/>
        </w:rPr>
        <w:t>（大周期：下跌周期）</w:t>
      </w:r>
    </w:p>
    <w:p w14:paraId="28ADC282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候选状态：蓄势（待连续确认）</w:t>
      </w:r>
    </w:p>
    <w:p w14:paraId="2D0BC2A1" w14:textId="77777777" w:rsidR="00830C1B" w:rsidRDefault="004B0357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状态持续：</w:t>
      </w:r>
      <w:r>
        <w:rPr>
          <w:rFonts w:cs="Calibri"/>
        </w:rPr>
        <w:t xml:space="preserve">7 </w:t>
      </w:r>
      <w:r>
        <w:rPr>
          <w:rFonts w:cs="Calibri"/>
        </w:rPr>
        <w:t>个季度</w:t>
      </w:r>
    </w:p>
    <w:p w14:paraId="37366651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上一状态：</w:t>
      </w:r>
      <w:r>
        <w:rPr>
          <w:rFonts w:cs="Calibri"/>
        </w:rPr>
        <w:t xml:space="preserve">09 </w:t>
      </w:r>
      <w:r>
        <w:rPr>
          <w:rFonts w:cs="Calibri"/>
        </w:rPr>
        <w:t>退潮（维持）</w:t>
      </w:r>
    </w:p>
    <w:p w14:paraId="3D00045F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潜在方向：</w:t>
      </w:r>
      <w:r>
        <w:rPr>
          <w:rFonts w:cs="Calibri"/>
        </w:rPr>
        <w:t xml:space="preserve">05 </w:t>
      </w:r>
      <w:r>
        <w:rPr>
          <w:rFonts w:cs="Calibri"/>
        </w:rPr>
        <w:t>蓄势（当前为候选，需连续</w:t>
      </w:r>
      <w:r>
        <w:rPr>
          <w:rFonts w:cs="Calibri"/>
        </w:rPr>
        <w:t xml:space="preserve"> 2 </w:t>
      </w:r>
      <w:r>
        <w:rPr>
          <w:rFonts w:cs="Calibri"/>
        </w:rPr>
        <w:t>季度同向确认）</w:t>
      </w:r>
    </w:p>
    <w:p w14:paraId="44B48D46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状态转换：</w:t>
      </w:r>
      <w:r>
        <w:rPr>
          <w:rFonts w:cs="Calibri"/>
        </w:rPr>
        <w:t>nan</w:t>
      </w:r>
      <w:r>
        <w:rPr>
          <w:rFonts w:cs="Calibri"/>
        </w:rPr>
        <w:t>（状态迁移）</w:t>
      </w:r>
    </w:p>
    <w:p w14:paraId="5D9C8B52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转换评分：</w:t>
      </w:r>
      <w:r>
        <w:rPr>
          <w:rFonts w:cs="Calibri"/>
        </w:rPr>
        <w:t>N/A / 100</w:t>
      </w:r>
    </w:p>
    <w:p w14:paraId="5999C146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周期置信度：</w:t>
      </w:r>
      <w:r>
        <w:rPr>
          <w:rFonts w:cs="Calibri"/>
        </w:rPr>
        <w:t>63 / 100</w:t>
      </w:r>
      <w:r>
        <w:rPr>
          <w:rFonts w:cs="Calibri"/>
        </w:rPr>
        <w:t>（持续季度加成</w:t>
      </w:r>
      <w:r>
        <w:rPr>
          <w:rFonts w:cs="Calibri"/>
        </w:rPr>
        <w:t xml:space="preserve"> + </w:t>
      </w:r>
      <w:r>
        <w:rPr>
          <w:rFonts w:cs="Calibri"/>
        </w:rPr>
        <w:t>连续确认加成，范围</w:t>
      </w:r>
      <w:r>
        <w:rPr>
          <w:rFonts w:cs="Calibri"/>
        </w:rPr>
        <w:t xml:space="preserve"> 0-100</w:t>
      </w:r>
      <w:r>
        <w:rPr>
          <w:rFonts w:cs="Calibri"/>
        </w:rPr>
        <w:t>）</w:t>
      </w:r>
    </w:p>
    <w:p w14:paraId="7A987743" w14:textId="77777777" w:rsidR="00830C1B" w:rsidRDefault="004B0357">
      <w:pPr>
        <w:jc w:val="both"/>
      </w:pPr>
      <w:r>
        <w:rPr>
          <w:rFonts w:cs="Calibri"/>
          <w:b/>
        </w:rPr>
        <w:t>筹码周期雷达</w:t>
      </w:r>
      <w:r>
        <w:rPr>
          <w:rFonts w:cs="Calibri"/>
        </w:rPr>
        <w:t>：</w:t>
      </w:r>
    </w:p>
    <w:p w14:paraId="46244791" w14:textId="77777777" w:rsidR="00830C1B" w:rsidRDefault="004B035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 76  ████████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 75  ███████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  0  </w:t>
      </w:r>
      <w:r>
        <w:rPr>
          <w:rFonts w:ascii="Consolas" w:eastAsia="Consolas" w:hAnsi="Consolas" w:cs="Consolas"/>
          <w:sz w:val="20"/>
        </w:rPr>
        <w:br/>
      </w:r>
    </w:p>
    <w:p w14:paraId="78DA53D3" w14:textId="77777777" w:rsidR="00830C1B" w:rsidRDefault="004B0357">
      <w:pPr>
        <w:spacing w:after="60"/>
        <w:ind w:left="283" w:hanging="283"/>
      </w:pPr>
      <w:r>
        <w:rPr>
          <w:rFonts w:cs="Calibri"/>
        </w:rPr>
        <w:t>• Chip Score</w:t>
      </w:r>
      <w:r>
        <w:rPr>
          <w:rFonts w:cs="Calibri"/>
        </w:rPr>
        <w:t>：</w:t>
      </w:r>
      <w:r>
        <w:rPr>
          <w:rFonts w:cs="Calibri"/>
        </w:rPr>
        <w:t>76 / 100</w:t>
      </w:r>
    </w:p>
    <w:p w14:paraId="6ACEB0CC" w14:textId="77777777" w:rsidR="00830C1B" w:rsidRDefault="004B0357">
      <w:pPr>
        <w:spacing w:after="60"/>
        <w:ind w:left="283" w:hanging="283"/>
      </w:pPr>
      <w:r>
        <w:rPr>
          <w:rFonts w:cs="Calibri"/>
        </w:rPr>
        <w:t>• Flow Score</w:t>
      </w:r>
      <w:r>
        <w:rPr>
          <w:rFonts w:cs="Calibri"/>
        </w:rPr>
        <w:t>：</w:t>
      </w:r>
      <w:r>
        <w:rPr>
          <w:rFonts w:cs="Calibri"/>
        </w:rPr>
        <w:t>75 / 100</w:t>
      </w:r>
      <w:r>
        <w:rPr>
          <w:rFonts w:cs="Calibri"/>
        </w:rPr>
        <w:t>（</w:t>
      </w:r>
      <w:r>
        <w:rPr>
          <w:rFonts w:cs="Calibri"/>
        </w:rPr>
        <w:t>FBI 0.39</w:t>
      </w:r>
      <w:r>
        <w:rPr>
          <w:rFonts w:cs="Calibri"/>
        </w:rPr>
        <w:t>，机构净流入）</w:t>
      </w:r>
    </w:p>
    <w:p w14:paraId="166178B9" w14:textId="77777777" w:rsidR="00830C1B" w:rsidRDefault="004B0357">
      <w:pPr>
        <w:spacing w:after="60"/>
        <w:ind w:left="283" w:hanging="283"/>
      </w:pPr>
      <w:r>
        <w:rPr>
          <w:rFonts w:cs="Calibri"/>
        </w:rPr>
        <w:t>• Price Score</w:t>
      </w:r>
      <w:r>
        <w:rPr>
          <w:rFonts w:cs="Calibri"/>
        </w:rPr>
        <w:t>：</w:t>
      </w:r>
      <w:r>
        <w:rPr>
          <w:rFonts w:cs="Calibri"/>
        </w:rPr>
        <w:t>0 / 100</w:t>
      </w:r>
      <w:r>
        <w:rPr>
          <w:rFonts w:cs="Calibri"/>
        </w:rPr>
        <w:t>（季度涨跌</w:t>
      </w:r>
      <w:r>
        <w:rPr>
          <w:rFonts w:cs="Calibri"/>
        </w:rPr>
        <w:t xml:space="preserve"> -15.81%</w:t>
      </w:r>
      <w:r>
        <w:rPr>
          <w:rFonts w:cs="Calibri"/>
        </w:rPr>
        <w:t>）</w:t>
      </w:r>
    </w:p>
    <w:p w14:paraId="3461195D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判定证据：机构数量趋势</w:t>
      </w:r>
      <w:r>
        <w:rPr>
          <w:rFonts w:cs="Calibri"/>
        </w:rPr>
        <w:t xml:space="preserve"> </w:t>
      </w:r>
      <w:r>
        <w:rPr>
          <w:rFonts w:cs="Calibri"/>
        </w:rPr>
        <w:t>下降（</w:t>
      </w:r>
      <w:r>
        <w:rPr>
          <w:rFonts w:cs="Calibri"/>
        </w:rPr>
        <w:t>QoQ -8.51%</w:t>
      </w:r>
      <w:r>
        <w:rPr>
          <w:rFonts w:cs="Calibri"/>
        </w:rPr>
        <w:t>）；持股数量趋势</w:t>
      </w:r>
      <w:r>
        <w:rPr>
          <w:rFonts w:cs="Calibri"/>
        </w:rPr>
        <w:t xml:space="preserve"> </w:t>
      </w:r>
      <w:r>
        <w:rPr>
          <w:rFonts w:cs="Calibri"/>
        </w:rPr>
        <w:t>强烈上升（</w:t>
      </w:r>
      <w:r>
        <w:rPr>
          <w:rFonts w:cs="Calibri"/>
        </w:rPr>
        <w:t>QoQ +10.46%</w:t>
      </w:r>
      <w:r>
        <w:rPr>
          <w:rFonts w:cs="Calibri"/>
        </w:rPr>
        <w:t>）；持股比例趋势</w:t>
      </w:r>
      <w:r>
        <w:rPr>
          <w:rFonts w:cs="Calibri"/>
        </w:rPr>
        <w:t xml:space="preserve"> </w:t>
      </w:r>
      <w:r>
        <w:rPr>
          <w:rFonts w:cs="Calibri"/>
        </w:rPr>
        <w:t>强烈上升（</w:t>
      </w:r>
      <w:r>
        <w:rPr>
          <w:rFonts w:cs="Calibri"/>
        </w:rPr>
        <w:t>QoQ +4.87pp</w:t>
      </w:r>
      <w:r>
        <w:rPr>
          <w:rFonts w:cs="Calibri"/>
        </w:rPr>
        <w:t>）；</w:t>
      </w:r>
      <w:r>
        <w:rPr>
          <w:rFonts w:cs="Calibri"/>
        </w:rPr>
        <w:t>FBI +0.39</w:t>
      </w:r>
      <w:r>
        <w:rPr>
          <w:rFonts w:cs="Calibri"/>
        </w:rPr>
        <w:t>（机构净流入）；季度涨跌</w:t>
      </w:r>
      <w:r>
        <w:rPr>
          <w:rFonts w:cs="Calibri"/>
        </w:rPr>
        <w:t xml:space="preserve"> -15.8%</w:t>
      </w:r>
    </w:p>
    <w:p w14:paraId="0C16DB8E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进入条件：未完全满足（</w:t>
      </w:r>
      <w:r>
        <w:rPr>
          <w:rFonts w:cs="Calibri"/>
        </w:rPr>
        <w:t>Chip&gt;70</w:t>
      </w:r>
      <w:r>
        <w:rPr>
          <w:rFonts w:cs="Calibri"/>
        </w:rPr>
        <w:t>、</w:t>
      </w:r>
      <w:r>
        <w:rPr>
          <w:rFonts w:cs="Calibri"/>
        </w:rPr>
        <w:t>Flow&gt;60</w:t>
      </w:r>
      <w:r>
        <w:rPr>
          <w:rFonts w:cs="Calibri"/>
        </w:rPr>
        <w:t>、</w:t>
      </w:r>
      <w:r>
        <w:rPr>
          <w:rFonts w:cs="Calibri"/>
        </w:rPr>
        <w:t>Price 40~60</w:t>
      </w:r>
      <w:r>
        <w:rPr>
          <w:rFonts w:cs="Calibri"/>
        </w:rPr>
        <w:t>（筹码好、价格未启动））</w:t>
      </w:r>
    </w:p>
    <w:p w14:paraId="63F19719" w14:textId="77777777" w:rsidR="00830C1B" w:rsidRDefault="004B0357">
      <w:pPr>
        <w:jc w:val="both"/>
      </w:pPr>
      <w:r>
        <w:rPr>
          <w:rFonts w:cs="Calibri"/>
          <w:b/>
        </w:rPr>
        <w:t>状态机说明</w:t>
      </w:r>
      <w:r>
        <w:rPr>
          <w:rFonts w:cs="Calibri"/>
        </w:rPr>
        <w:t>：单季度变化先进入</w:t>
      </w:r>
      <w:r>
        <w:rPr>
          <w:rFonts w:cs="Calibri"/>
        </w:rPr>
        <w:t xml:space="preserve"> Candidate</w:t>
      </w:r>
      <w:r>
        <w:rPr>
          <w:rFonts w:cs="Calibri"/>
        </w:rPr>
        <w:t>，连续</w:t>
      </w:r>
      <w:r>
        <w:rPr>
          <w:rFonts w:cs="Calibri"/>
        </w:rPr>
        <w:t xml:space="preserve"> 2 </w:t>
      </w:r>
      <w:r>
        <w:rPr>
          <w:rFonts w:cs="Calibri"/>
        </w:rPr>
        <w:t>个季度同向才确认为</w:t>
      </w:r>
      <w:r>
        <w:rPr>
          <w:rFonts w:cs="Calibri"/>
        </w:rPr>
        <w:t xml:space="preserve"> Confirmed Regime</w:t>
      </w:r>
      <w:r>
        <w:rPr>
          <w:rFonts w:cs="Calibri"/>
        </w:rPr>
        <w:t>；允许相邻状态双向转换（如</w:t>
      </w:r>
      <w:r>
        <w:rPr>
          <w:rFonts w:cs="Calibri"/>
        </w:rPr>
        <w:t xml:space="preserve"> 02↔01</w:t>
      </w:r>
      <w:r>
        <w:rPr>
          <w:rFonts w:cs="Calibri"/>
        </w:rPr>
        <w:t>、</w:t>
      </w:r>
      <w:r>
        <w:rPr>
          <w:rFonts w:cs="Calibri"/>
        </w:rPr>
        <w:t>05↔04</w:t>
      </w:r>
      <w:r>
        <w:rPr>
          <w:rFonts w:cs="Calibri"/>
        </w:rPr>
        <w:t>），市场可以失败、反转、重新蓄势。</w:t>
      </w:r>
    </w:p>
    <w:p w14:paraId="463E82FB" w14:textId="77777777" w:rsidR="00830C1B" w:rsidRDefault="004B0357">
      <w:pPr>
        <w:jc w:val="both"/>
      </w:pPr>
      <w:r>
        <w:rPr>
          <w:rFonts w:cs="Calibri"/>
          <w:b/>
        </w:rPr>
        <w:t>下一季度观察条件</w:t>
      </w:r>
      <w:r>
        <w:rPr>
          <w:rFonts w:cs="Calibri"/>
        </w:rPr>
        <w:t>：</w:t>
      </w:r>
    </w:p>
    <w:p w14:paraId="6733BC69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保持当前状态：观察价格是否企稳、筹码是否止跌（</w:t>
      </w:r>
      <w:r>
        <w:rPr>
          <w:rFonts w:cs="Calibri"/>
        </w:rPr>
        <w:t>→</w:t>
      </w:r>
      <w:r>
        <w:rPr>
          <w:rFonts w:cs="Calibri"/>
        </w:rPr>
        <w:t>筑底</w:t>
      </w:r>
      <w:r>
        <w:rPr>
          <w:rFonts w:cs="Calibri"/>
        </w:rPr>
        <w:t>/</w:t>
      </w:r>
      <w:r>
        <w:rPr>
          <w:rFonts w:cs="Calibri"/>
        </w:rPr>
        <w:t>分散）</w:t>
      </w:r>
    </w:p>
    <w:p w14:paraId="46CFF132" w14:textId="77777777" w:rsidR="00830C1B" w:rsidRDefault="004B0357">
      <w:pPr>
        <w:jc w:val="both"/>
      </w:pPr>
      <w:r>
        <w:rPr>
          <w:rFonts w:cs="Calibri"/>
        </w:rPr>
        <w:t>（筹码周期九态：</w:t>
      </w:r>
      <w:r>
        <w:rPr>
          <w:rFonts w:cs="Calibri"/>
        </w:rPr>
        <w:t xml:space="preserve">01 </w:t>
      </w:r>
      <w:r>
        <w:rPr>
          <w:rFonts w:cs="Calibri"/>
        </w:rPr>
        <w:t>分散</w:t>
      </w:r>
      <w:r>
        <w:rPr>
          <w:rFonts w:cs="Calibri"/>
        </w:rPr>
        <w:t xml:space="preserve"> / 02 </w:t>
      </w:r>
      <w:r>
        <w:rPr>
          <w:rFonts w:cs="Calibri"/>
        </w:rPr>
        <w:t>筑底</w:t>
      </w:r>
      <w:r>
        <w:rPr>
          <w:rFonts w:cs="Calibri"/>
        </w:rPr>
        <w:t xml:space="preserve"> / 03 </w:t>
      </w:r>
      <w:r>
        <w:rPr>
          <w:rFonts w:cs="Calibri"/>
        </w:rPr>
        <w:t>吸筹</w:t>
      </w:r>
      <w:r>
        <w:rPr>
          <w:rFonts w:cs="Calibri"/>
        </w:rPr>
        <w:t xml:space="preserve"> / 04 </w:t>
      </w:r>
      <w:r>
        <w:rPr>
          <w:rFonts w:cs="Calibri"/>
        </w:rPr>
        <w:t>集中</w:t>
      </w:r>
      <w:r>
        <w:rPr>
          <w:rFonts w:cs="Calibri"/>
        </w:rPr>
        <w:t xml:space="preserve"> / 05 </w:t>
      </w:r>
      <w:r>
        <w:rPr>
          <w:rFonts w:cs="Calibri"/>
        </w:rPr>
        <w:t>蓄势</w:t>
      </w:r>
      <w:r>
        <w:rPr>
          <w:rFonts w:cs="Calibri"/>
        </w:rPr>
        <w:t xml:space="preserve"> / 06 </w:t>
      </w:r>
      <w:r>
        <w:rPr>
          <w:rFonts w:cs="Calibri"/>
        </w:rPr>
        <w:t>主升</w:t>
      </w:r>
      <w:r>
        <w:rPr>
          <w:rFonts w:cs="Calibri"/>
        </w:rPr>
        <w:t xml:space="preserve"> / 07 </w:t>
      </w:r>
      <w:r>
        <w:rPr>
          <w:rFonts w:cs="Calibri"/>
        </w:rPr>
        <w:t>派发</w:t>
      </w:r>
      <w:r>
        <w:rPr>
          <w:rFonts w:cs="Calibri"/>
        </w:rPr>
        <w:t xml:space="preserve"> / 08 </w:t>
      </w:r>
      <w:r>
        <w:rPr>
          <w:rFonts w:cs="Calibri"/>
        </w:rPr>
        <w:t>扩散</w:t>
      </w:r>
      <w:r>
        <w:rPr>
          <w:rFonts w:cs="Calibri"/>
        </w:rPr>
        <w:t xml:space="preserve"> / 09 </w:t>
      </w:r>
      <w:r>
        <w:rPr>
          <w:rFonts w:cs="Calibri"/>
        </w:rPr>
        <w:t>退潮）</w:t>
      </w:r>
    </w:p>
    <w:p w14:paraId="3264D7F7" w14:textId="77777777" w:rsidR="00830C1B" w:rsidRDefault="00830C1B">
      <w:pPr>
        <w:pBdr>
          <w:bottom w:val="single" w:sz="6" w:space="1" w:color="auto"/>
        </w:pBdr>
      </w:pPr>
    </w:p>
    <w:p w14:paraId="61BDFF89" w14:textId="77777777" w:rsidR="00830C1B" w:rsidRDefault="004B0357">
      <w:pPr>
        <w:pStyle w:val="Heading2"/>
      </w:pPr>
      <w:bookmarkStart w:id="12" w:name="_Toc237759588"/>
      <w:r>
        <w:rPr>
          <w:rFonts w:ascii="Arial" w:eastAsia="Microsoft YaHei" w:hAnsi="Arial" w:cs="Arial"/>
        </w:rPr>
        <w:t xml:space="preserve">10. </w:t>
      </w:r>
      <w:r>
        <w:rPr>
          <w:rFonts w:ascii="Arial" w:eastAsia="Microsoft YaHei" w:hAnsi="Arial" w:cs="Arial"/>
        </w:rPr>
        <w:t>风险</w:t>
      </w:r>
      <w:bookmarkEnd w:id="12"/>
    </w:p>
    <w:p w14:paraId="51011EAF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数据口径风险</w:t>
      </w:r>
      <w:r>
        <w:rPr>
          <w:rFonts w:cs="Calibri"/>
        </w:rPr>
        <w:t>：季度汇总数据不含机构明细，集中度与迁移均为代理指标。</w:t>
      </w:r>
    </w:p>
    <w:p w14:paraId="3302F957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股本变化风险</w:t>
      </w:r>
      <w:r>
        <w:rPr>
          <w:rFonts w:cs="Calibri"/>
        </w:rPr>
        <w:t>：当前季度未触发股本大幅变动提示（</w:t>
      </w:r>
      <w:r>
        <w:rPr>
          <w:rFonts w:cs="Calibri"/>
        </w:rPr>
        <w:t>corporate_action_flag=0</w:t>
      </w:r>
      <w:r>
        <w:rPr>
          <w:rFonts w:cs="Calibri"/>
        </w:rPr>
        <w:t>）。</w:t>
      </w:r>
    </w:p>
    <w:p w14:paraId="14244950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筹码解释风险</w:t>
      </w:r>
      <w:r>
        <w:rPr>
          <w:rFonts w:cs="Calibri"/>
        </w:rPr>
        <w:t>：不能将代理信号等同于机构锁仓</w:t>
      </w:r>
      <w:r>
        <w:rPr>
          <w:rFonts w:cs="Calibri"/>
        </w:rPr>
        <w:t>/</w:t>
      </w:r>
      <w:r>
        <w:rPr>
          <w:rFonts w:cs="Calibri"/>
        </w:rPr>
        <w:t>吸筹等具体行为。</w:t>
      </w:r>
    </w:p>
    <w:p w14:paraId="4F1D3936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逆势集中风险</w:t>
      </w:r>
      <w:r>
        <w:rPr>
          <w:rFonts w:cs="Calibri"/>
        </w:rPr>
        <w:t>：筹码改善但价格下跌，需验证是底部吸筹还是基本面恶化的被动集中。</w:t>
      </w:r>
    </w:p>
    <w:p w14:paraId="2F289A78" w14:textId="77777777" w:rsidR="00830C1B" w:rsidRDefault="00830C1B">
      <w:pPr>
        <w:pBdr>
          <w:bottom w:val="single" w:sz="6" w:space="1" w:color="auto"/>
        </w:pBdr>
      </w:pPr>
    </w:p>
    <w:p w14:paraId="43BABCDE" w14:textId="77777777" w:rsidR="00830C1B" w:rsidRDefault="004B0357">
      <w:pPr>
        <w:pStyle w:val="Heading2"/>
      </w:pPr>
      <w:bookmarkStart w:id="13" w:name="_Toc237759589"/>
      <w:r>
        <w:rPr>
          <w:rFonts w:ascii="Arial" w:eastAsia="Microsoft YaHei" w:hAnsi="Arial" w:cs="Arial"/>
        </w:rPr>
        <w:lastRenderedPageBreak/>
        <w:t xml:space="preserve">11. QCFP </w:t>
      </w:r>
      <w:r>
        <w:rPr>
          <w:rFonts w:ascii="Arial" w:eastAsia="Microsoft YaHei" w:hAnsi="Arial" w:cs="Arial"/>
        </w:rPr>
        <w:t>联合验证（筹码</w:t>
      </w:r>
      <w:r>
        <w:rPr>
          <w:rFonts w:ascii="Arial" w:eastAsia="Microsoft YaHei" w:hAnsi="Arial" w:cs="Arial"/>
        </w:rPr>
        <w:t xml:space="preserve"> × </w:t>
      </w:r>
      <w:r>
        <w:rPr>
          <w:rFonts w:ascii="Arial" w:eastAsia="Microsoft YaHei" w:hAnsi="Arial" w:cs="Arial"/>
        </w:rPr>
        <w:t>资金</w:t>
      </w:r>
      <w:r>
        <w:rPr>
          <w:rFonts w:ascii="Arial" w:eastAsia="Microsoft YaHei" w:hAnsi="Arial" w:cs="Arial"/>
        </w:rPr>
        <w:t xml:space="preserve"> × </w:t>
      </w:r>
      <w:r>
        <w:rPr>
          <w:rFonts w:ascii="Arial" w:eastAsia="Microsoft YaHei" w:hAnsi="Arial" w:cs="Arial"/>
        </w:rPr>
        <w:t>价格）</w:t>
      </w:r>
      <w:bookmarkEnd w:id="13"/>
    </w:p>
    <w:p w14:paraId="6DEC713B" w14:textId="77777777" w:rsidR="00830C1B" w:rsidRDefault="004B0357">
      <w:pPr>
        <w:spacing w:after="60"/>
        <w:ind w:left="283" w:hanging="283"/>
      </w:pPr>
      <w:r>
        <w:rPr>
          <w:rFonts w:cs="Calibri"/>
        </w:rPr>
        <w:t>• Chip</w:t>
      </w:r>
      <w:r>
        <w:rPr>
          <w:rFonts w:cs="Calibri"/>
        </w:rPr>
        <w:t>：偏多</w:t>
      </w:r>
      <w:r>
        <w:rPr>
          <w:rFonts w:cs="Calibri"/>
        </w:rPr>
        <w:t>/</w:t>
      </w:r>
      <w:r>
        <w:rPr>
          <w:rFonts w:cs="Calibri"/>
        </w:rPr>
        <w:t>上行（评分</w:t>
      </w:r>
      <w:r>
        <w:rPr>
          <w:rFonts w:cs="Calibri"/>
        </w:rPr>
        <w:t xml:space="preserve"> 76</w:t>
      </w:r>
      <w:r>
        <w:rPr>
          <w:rFonts w:cs="Calibri"/>
        </w:rPr>
        <w:t>）</w:t>
      </w:r>
    </w:p>
    <w:p w14:paraId="22C0C372" w14:textId="77777777" w:rsidR="00830C1B" w:rsidRDefault="004B0357">
      <w:pPr>
        <w:spacing w:after="60"/>
        <w:ind w:left="283" w:hanging="283"/>
      </w:pPr>
      <w:r>
        <w:rPr>
          <w:rFonts w:cs="Calibri"/>
        </w:rPr>
        <w:t>• Flow</w:t>
      </w:r>
      <w:r>
        <w:rPr>
          <w:rFonts w:cs="Calibri"/>
        </w:rPr>
        <w:t>：偏多</w:t>
      </w:r>
      <w:r>
        <w:rPr>
          <w:rFonts w:cs="Calibri"/>
        </w:rPr>
        <w:t>/</w:t>
      </w:r>
      <w:r>
        <w:rPr>
          <w:rFonts w:cs="Calibri"/>
        </w:rPr>
        <w:t>上行（</w:t>
      </w:r>
      <w:r>
        <w:rPr>
          <w:rFonts w:cs="Calibri"/>
        </w:rPr>
        <w:t>FBI 0.39</w:t>
      </w:r>
      <w:r>
        <w:rPr>
          <w:rFonts w:cs="Calibri"/>
        </w:rPr>
        <w:t>，机构净流入）</w:t>
      </w:r>
    </w:p>
    <w:p w14:paraId="5816AC2D" w14:textId="77777777" w:rsidR="00830C1B" w:rsidRDefault="004B0357">
      <w:pPr>
        <w:spacing w:after="60"/>
        <w:ind w:left="283" w:hanging="283"/>
      </w:pPr>
      <w:r>
        <w:rPr>
          <w:rFonts w:cs="Calibri"/>
        </w:rPr>
        <w:t>• Price</w:t>
      </w:r>
      <w:r>
        <w:rPr>
          <w:rFonts w:cs="Calibri"/>
        </w:rPr>
        <w:t>：偏空</w:t>
      </w:r>
      <w:r>
        <w:rPr>
          <w:rFonts w:cs="Calibri"/>
        </w:rPr>
        <w:t>/</w:t>
      </w:r>
      <w:r>
        <w:rPr>
          <w:rFonts w:cs="Calibri"/>
        </w:rPr>
        <w:t>下行（季度涨跌</w:t>
      </w:r>
      <w:r>
        <w:rPr>
          <w:rFonts w:cs="Calibri"/>
        </w:rPr>
        <w:t xml:space="preserve"> -15.81%</w:t>
      </w:r>
      <w:r>
        <w:rPr>
          <w:rFonts w:cs="Calibri"/>
        </w:rPr>
        <w:t>）</w:t>
      </w:r>
    </w:p>
    <w:p w14:paraId="78D82A4A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</w:t>
      </w:r>
      <w:r>
        <w:rPr>
          <w:rFonts w:cs="Calibri"/>
        </w:rPr>
        <w:t>×</w:t>
      </w:r>
      <w:r>
        <w:rPr>
          <w:rFonts w:cs="Calibri"/>
        </w:rPr>
        <w:t>资金：共振</w:t>
      </w:r>
    </w:p>
    <w:p w14:paraId="17DB40F6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</w:t>
      </w:r>
      <w:r>
        <w:rPr>
          <w:rFonts w:cs="Calibri"/>
        </w:rPr>
        <w:t>×</w:t>
      </w:r>
      <w:r>
        <w:rPr>
          <w:rFonts w:cs="Calibri"/>
        </w:rPr>
        <w:t>价格：背离</w:t>
      </w:r>
    </w:p>
    <w:p w14:paraId="5157DC62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资金</w:t>
      </w:r>
      <w:r>
        <w:rPr>
          <w:rFonts w:cs="Calibri"/>
        </w:rPr>
        <w:t>×</w:t>
      </w:r>
      <w:r>
        <w:rPr>
          <w:rFonts w:cs="Calibri"/>
        </w:rPr>
        <w:t>价格：背离</w:t>
      </w:r>
    </w:p>
    <w:p w14:paraId="32AE6C3A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三维状态：吸筹回调</w:t>
      </w:r>
    </w:p>
    <w:p w14:paraId="687AB1A1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综合评分：</w:t>
      </w:r>
      <w:r>
        <w:rPr>
          <w:rFonts w:cs="Calibri"/>
        </w:rPr>
        <w:t>61 / 100</w:t>
      </w:r>
    </w:p>
    <w:p w14:paraId="45FD4F0B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信号摘要：吸筹回调；筹码评分</w:t>
      </w:r>
      <w:r>
        <w:rPr>
          <w:rFonts w:cs="Calibri"/>
        </w:rPr>
        <w:t xml:space="preserve"> 76</w:t>
      </w:r>
      <w:r>
        <w:rPr>
          <w:rFonts w:cs="Calibri"/>
        </w:rPr>
        <w:t>；</w:t>
      </w:r>
      <w:r>
        <w:rPr>
          <w:rFonts w:cs="Calibri"/>
        </w:rPr>
        <w:t>FBI 0.39</w:t>
      </w:r>
      <w:r>
        <w:rPr>
          <w:rFonts w:cs="Calibri"/>
        </w:rPr>
        <w:t>；季度涨跌</w:t>
      </w:r>
      <w:r>
        <w:rPr>
          <w:rFonts w:cs="Calibri"/>
        </w:rPr>
        <w:t xml:space="preserve"> -15.8%</w:t>
      </w:r>
    </w:p>
    <w:p w14:paraId="21CE45DE" w14:textId="77777777" w:rsidR="00830C1B" w:rsidRDefault="004B0357">
      <w:pPr>
        <w:jc w:val="both"/>
      </w:pPr>
      <w:r>
        <w:rPr>
          <w:rFonts w:cs="Calibri"/>
        </w:rPr>
        <w:t>三维方向未形成典型共振</w:t>
      </w:r>
      <w:r>
        <w:rPr>
          <w:rFonts w:cs="Calibri"/>
        </w:rPr>
        <w:t>/</w:t>
      </w:r>
      <w:r>
        <w:rPr>
          <w:rFonts w:cs="Calibri"/>
        </w:rPr>
        <w:t>背离，建议持续跟踪。</w:t>
      </w:r>
    </w:p>
    <w:p w14:paraId="015B2C92" w14:textId="77777777" w:rsidR="00830C1B" w:rsidRDefault="00830C1B">
      <w:pPr>
        <w:pBdr>
          <w:bottom w:val="single" w:sz="6" w:space="1" w:color="auto"/>
        </w:pBdr>
      </w:pPr>
    </w:p>
    <w:p w14:paraId="21C98521" w14:textId="77777777" w:rsidR="00830C1B" w:rsidRDefault="004B0357">
      <w:pPr>
        <w:pStyle w:val="Heading2"/>
      </w:pPr>
      <w:bookmarkStart w:id="14" w:name="_Toc237759590"/>
      <w:r>
        <w:rPr>
          <w:rFonts w:ascii="Arial" w:eastAsia="Microsoft YaHei" w:hAnsi="Arial" w:cs="Arial"/>
        </w:rPr>
        <w:t xml:space="preserve">12. </w:t>
      </w:r>
      <w:r>
        <w:rPr>
          <w:rFonts w:ascii="Arial" w:eastAsia="Microsoft YaHei" w:hAnsi="Arial" w:cs="Arial"/>
        </w:rPr>
        <w:t>投资含义</w:t>
      </w:r>
      <w:bookmarkEnd w:id="14"/>
    </w:p>
    <w:p w14:paraId="4B04FD49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机构参与：下降（参与度</w:t>
      </w:r>
      <w:r>
        <w:rPr>
          <w:rFonts w:cs="Calibri"/>
        </w:rPr>
        <w:t xml:space="preserve"> 49/100</w:t>
      </w:r>
      <w:r>
        <w:rPr>
          <w:rFonts w:cs="Calibri"/>
        </w:rPr>
        <w:t>）</w:t>
      </w:r>
    </w:p>
    <w:p w14:paraId="1975A4A3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筹码方向：中性（迁移状态</w:t>
      </w:r>
      <w:r>
        <w:rPr>
          <w:rFonts w:cs="Calibri"/>
        </w:rPr>
        <w:t xml:space="preserve"> CONCENTRATION</w:t>
      </w:r>
      <w:r>
        <w:rPr>
          <w:rFonts w:cs="Calibri"/>
        </w:rPr>
        <w:t>）</w:t>
      </w:r>
    </w:p>
    <w:p w14:paraId="5139CB8B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筹码趋势：强烈上升（持股比例）</w:t>
      </w:r>
    </w:p>
    <w:p w14:paraId="31427488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筹码周期：</w:t>
      </w:r>
      <w:r>
        <w:rPr>
          <w:rFonts w:cs="Calibri"/>
        </w:rPr>
        <w:t xml:space="preserve">09 </w:t>
      </w:r>
      <w:r>
        <w:rPr>
          <w:rFonts w:cs="Calibri"/>
        </w:rPr>
        <w:t>退潮（下跌周期，持续</w:t>
      </w:r>
      <w:r>
        <w:rPr>
          <w:rFonts w:cs="Calibri"/>
        </w:rPr>
        <w:t xml:space="preserve"> 7 </w:t>
      </w:r>
      <w:r>
        <w:rPr>
          <w:rFonts w:cs="Calibri"/>
        </w:rPr>
        <w:t>季度）</w:t>
      </w:r>
    </w:p>
    <w:p w14:paraId="5D7D417F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QCFP </w:t>
      </w:r>
      <w:r>
        <w:rPr>
          <w:rFonts w:cs="Calibri"/>
        </w:rPr>
        <w:t>状态：吸筹回调</w:t>
      </w:r>
    </w:p>
    <w:p w14:paraId="294698E7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潜在催化：筹码结构与价格</w:t>
      </w:r>
      <w:r>
        <w:rPr>
          <w:rFonts w:cs="Calibri"/>
        </w:rPr>
        <w:t>/</w:t>
      </w:r>
      <w:r>
        <w:rPr>
          <w:rFonts w:cs="Calibri"/>
        </w:rPr>
        <w:t>资金形成共振时，可作为中期关注信号（见历史有效性检验）</w:t>
      </w:r>
    </w:p>
    <w:p w14:paraId="1464A1C0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主要风险：数据口径限制</w:t>
      </w:r>
      <w:r>
        <w:rPr>
          <w:rFonts w:cs="Calibri"/>
        </w:rPr>
        <w:t xml:space="preserve"> + </w:t>
      </w:r>
      <w:r>
        <w:rPr>
          <w:rFonts w:cs="Calibri"/>
        </w:rPr>
        <w:t>价格背离</w:t>
      </w:r>
    </w:p>
    <w:p w14:paraId="739DEF54" w14:textId="77777777" w:rsidR="00830C1B" w:rsidRDefault="00830C1B">
      <w:pPr>
        <w:pBdr>
          <w:bottom w:val="single" w:sz="6" w:space="1" w:color="auto"/>
        </w:pBdr>
      </w:pPr>
    </w:p>
    <w:p w14:paraId="0CF36CA5" w14:textId="77777777" w:rsidR="00830C1B" w:rsidRDefault="004B0357">
      <w:pPr>
        <w:pStyle w:val="Heading2"/>
      </w:pPr>
      <w:bookmarkStart w:id="15" w:name="_Toc237759591"/>
      <w:r>
        <w:rPr>
          <w:rFonts w:ascii="Arial" w:eastAsia="Microsoft YaHei" w:hAnsi="Arial" w:cs="Arial"/>
        </w:rPr>
        <w:t xml:space="preserve">13. </w:t>
      </w:r>
      <w:r>
        <w:rPr>
          <w:rFonts w:ascii="Arial" w:eastAsia="Microsoft YaHei" w:hAnsi="Arial" w:cs="Arial"/>
        </w:rPr>
        <w:t>结论</w:t>
      </w:r>
      <w:bookmarkEnd w:id="15"/>
    </w:p>
    <w:p w14:paraId="719BA49E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当前状态：</w:t>
      </w:r>
      <w:r>
        <w:rPr>
          <w:rFonts w:cs="Calibri"/>
        </w:rPr>
        <w:t xml:space="preserve">09 </w:t>
      </w:r>
      <w:r>
        <w:rPr>
          <w:rFonts w:cs="Calibri"/>
        </w:rPr>
        <w:t>退潮（置信度</w:t>
      </w:r>
      <w:r>
        <w:rPr>
          <w:rFonts w:cs="Calibri"/>
        </w:rPr>
        <w:t xml:space="preserve"> 63/100</w:t>
      </w:r>
      <w:r>
        <w:rPr>
          <w:rFonts w:cs="Calibri"/>
        </w:rPr>
        <w:t>，持续</w:t>
      </w:r>
      <w:r>
        <w:rPr>
          <w:rFonts w:cs="Calibri"/>
        </w:rPr>
        <w:t xml:space="preserve"> 7 </w:t>
      </w:r>
      <w:r>
        <w:rPr>
          <w:rFonts w:cs="Calibri"/>
        </w:rPr>
        <w:t>季度）</w:t>
      </w:r>
    </w:p>
    <w:p w14:paraId="7B0747D1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状态转换：</w:t>
      </w:r>
      <w:r>
        <w:rPr>
          <w:rFonts w:cs="Calibri"/>
        </w:rPr>
        <w:t>nan</w:t>
      </w:r>
      <w:r>
        <w:rPr>
          <w:rFonts w:cs="Calibri"/>
        </w:rPr>
        <w:t>（</w:t>
      </w:r>
      <w:r>
        <w:rPr>
          <w:rFonts w:cs="Calibri"/>
        </w:rPr>
        <w:t>—</w:t>
      </w:r>
      <w:r>
        <w:rPr>
          <w:rFonts w:cs="Calibri"/>
        </w:rPr>
        <w:t>）</w:t>
      </w:r>
    </w:p>
    <w:p w14:paraId="615B1808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证据强度：原始数据（机构数量</w:t>
      </w:r>
      <w:r>
        <w:rPr>
          <w:rFonts w:cs="Calibri"/>
        </w:rPr>
        <w:t>/</w:t>
      </w:r>
      <w:r>
        <w:rPr>
          <w:rFonts w:cs="Calibri"/>
        </w:rPr>
        <w:t>持股数量</w:t>
      </w:r>
      <w:r>
        <w:rPr>
          <w:rFonts w:cs="Calibri"/>
        </w:rPr>
        <w:t>/</w:t>
      </w:r>
      <w:r>
        <w:rPr>
          <w:rFonts w:cs="Calibri"/>
        </w:rPr>
        <w:t>持股比例）为</w:t>
      </w:r>
      <w:r>
        <w:rPr>
          <w:rFonts w:cs="Calibri"/>
        </w:rPr>
        <w:t xml:space="preserve"> A </w:t>
      </w:r>
      <w:r>
        <w:rPr>
          <w:rFonts w:cs="Calibri"/>
        </w:rPr>
        <w:t>级直接观察；集中度、迁移、参与度为</w:t>
      </w:r>
      <w:r>
        <w:rPr>
          <w:rFonts w:cs="Calibri"/>
        </w:rPr>
        <w:t xml:space="preserve"> B/C </w:t>
      </w:r>
      <w:r>
        <w:rPr>
          <w:rFonts w:cs="Calibri"/>
        </w:rPr>
        <w:t>级推断；本报告不包含</w:t>
      </w:r>
      <w:r>
        <w:rPr>
          <w:rFonts w:cs="Calibri"/>
        </w:rPr>
        <w:t xml:space="preserve"> D </w:t>
      </w:r>
      <w:r>
        <w:rPr>
          <w:rFonts w:cs="Calibri"/>
        </w:rPr>
        <w:t>级不可验证表述。</w:t>
      </w:r>
    </w:p>
    <w:p w14:paraId="7EB5D587" w14:textId="77777777" w:rsidR="00830C1B" w:rsidRDefault="004B035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未来重点观察：</w:t>
      </w:r>
      <w:r>
        <w:rPr>
          <w:rFonts w:cs="Calibri"/>
        </w:rPr>
        <w:t xml:space="preserve">① </w:t>
      </w:r>
      <w:r>
        <w:rPr>
          <w:rFonts w:cs="Calibri"/>
        </w:rPr>
        <w:t>机构数量与持股比例是否连续</w:t>
      </w:r>
      <w:r>
        <w:rPr>
          <w:rFonts w:cs="Calibri"/>
        </w:rPr>
        <w:t xml:space="preserve"> 2 </w:t>
      </w:r>
      <w:r>
        <w:rPr>
          <w:rFonts w:cs="Calibri"/>
        </w:rPr>
        <w:t>个季度同向；</w:t>
      </w:r>
      <w:r>
        <w:rPr>
          <w:rFonts w:cs="Calibri"/>
        </w:rPr>
        <w:t xml:space="preserve">② </w:t>
      </w:r>
      <w:r>
        <w:rPr>
          <w:rFonts w:cs="Calibri"/>
        </w:rPr>
        <w:t>筹码迁移评分能否进入</w:t>
      </w:r>
      <w:r>
        <w:rPr>
          <w:rFonts w:cs="Calibri"/>
        </w:rPr>
        <w:t xml:space="preserve"> +40 </w:t>
      </w:r>
      <w:r>
        <w:rPr>
          <w:rFonts w:cs="Calibri"/>
        </w:rPr>
        <w:t>以上区间并持续；</w:t>
      </w:r>
      <w:r>
        <w:rPr>
          <w:rFonts w:cs="Calibri"/>
        </w:rPr>
        <w:t xml:space="preserve">③ </w:t>
      </w:r>
      <w:r>
        <w:rPr>
          <w:rFonts w:cs="Calibri"/>
        </w:rPr>
        <w:t>价格是否对筹码改善形成正向确认；</w:t>
      </w:r>
      <w:r>
        <w:rPr>
          <w:rFonts w:cs="Calibri"/>
        </w:rPr>
        <w:t xml:space="preserve">④ </w:t>
      </w:r>
      <w:r>
        <w:rPr>
          <w:rFonts w:cs="Calibri"/>
        </w:rPr>
        <w:t>资金流（</w:t>
      </w:r>
      <w:r>
        <w:rPr>
          <w:rFonts w:cs="Calibri"/>
        </w:rPr>
        <w:t>FBI/IDR</w:t>
      </w:r>
      <w:r>
        <w:rPr>
          <w:rFonts w:cs="Calibri"/>
        </w:rPr>
        <w:t>）与筹码方向的一致性；</w:t>
      </w:r>
      <w:r>
        <w:rPr>
          <w:rFonts w:cs="Calibri"/>
        </w:rPr>
        <w:t xml:space="preserve">⑤ </w:t>
      </w:r>
      <w:r>
        <w:rPr>
          <w:rFonts w:cs="Calibri"/>
        </w:rPr>
        <w:t>观察价格是否企稳、筹码是否止跌（</w:t>
      </w:r>
      <w:r>
        <w:rPr>
          <w:rFonts w:cs="Calibri"/>
        </w:rPr>
        <w:t>→</w:t>
      </w:r>
      <w:r>
        <w:rPr>
          <w:rFonts w:cs="Calibri"/>
        </w:rPr>
        <w:t>筑底</w:t>
      </w:r>
      <w:r>
        <w:rPr>
          <w:rFonts w:cs="Calibri"/>
        </w:rPr>
        <w:t>/</w:t>
      </w:r>
      <w:r>
        <w:rPr>
          <w:rFonts w:cs="Calibri"/>
        </w:rPr>
        <w:t>分散）。</w:t>
      </w:r>
    </w:p>
    <w:p w14:paraId="20CD8818" w14:textId="77777777" w:rsidR="00830C1B" w:rsidRDefault="00830C1B">
      <w:pPr>
        <w:pBdr>
          <w:bottom w:val="single" w:sz="6" w:space="1" w:color="auto"/>
        </w:pBdr>
      </w:pPr>
    </w:p>
    <w:p w14:paraId="07EAB180" w14:textId="77777777" w:rsidR="00830C1B" w:rsidRDefault="004B0357">
      <w:pPr>
        <w:pStyle w:val="Heading2"/>
      </w:pPr>
      <w:bookmarkStart w:id="16" w:name="_Toc237759592"/>
      <w:r>
        <w:rPr>
          <w:rFonts w:ascii="Arial" w:eastAsia="Microsoft YaHei" w:hAnsi="Arial" w:cs="Arial"/>
        </w:rPr>
        <w:lastRenderedPageBreak/>
        <w:t>附录：历史有效性检验（全市场）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30C1B" w14:paraId="4B363B91" w14:textId="77777777">
        <w:trPr>
          <w:tblHeader/>
        </w:trPr>
        <w:tc>
          <w:tcPr>
            <w:tcW w:w="1872" w:type="dxa"/>
            <w:shd w:val="clear" w:color="auto" w:fill="2F5496"/>
          </w:tcPr>
          <w:p w14:paraId="51A8387E" w14:textId="77777777" w:rsidR="00830C1B" w:rsidRDefault="004B0357">
            <w:r>
              <w:rPr>
                <w:rFonts w:cs="Calibri"/>
                <w:b/>
                <w:color w:val="FFFFFF"/>
                <w:sz w:val="19"/>
              </w:rPr>
              <w:t xml:space="preserve">Chip Score </w:t>
            </w:r>
            <w:r>
              <w:rPr>
                <w:rFonts w:cs="Calibri"/>
                <w:b/>
                <w:color w:val="FFFFFF"/>
                <w:sz w:val="19"/>
              </w:rPr>
              <w:t>分段</w:t>
            </w:r>
          </w:p>
        </w:tc>
        <w:tc>
          <w:tcPr>
            <w:tcW w:w="1872" w:type="dxa"/>
            <w:shd w:val="clear" w:color="auto" w:fill="2F5496"/>
          </w:tcPr>
          <w:p w14:paraId="3D8C0E11" w14:textId="77777777" w:rsidR="00830C1B" w:rsidRDefault="004B035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1872" w:type="dxa"/>
            <w:shd w:val="clear" w:color="auto" w:fill="2F5496"/>
          </w:tcPr>
          <w:p w14:paraId="41048947" w14:textId="77777777" w:rsidR="00830C1B" w:rsidRDefault="004B035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Q+1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  <w:tc>
          <w:tcPr>
            <w:tcW w:w="1872" w:type="dxa"/>
            <w:shd w:val="clear" w:color="auto" w:fill="2F5496"/>
          </w:tcPr>
          <w:p w14:paraId="6613403B" w14:textId="77777777" w:rsidR="00830C1B" w:rsidRDefault="004B035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Q+2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  <w:tc>
          <w:tcPr>
            <w:tcW w:w="1872" w:type="dxa"/>
            <w:shd w:val="clear" w:color="auto" w:fill="2F5496"/>
          </w:tcPr>
          <w:p w14:paraId="0B9416AA" w14:textId="77777777" w:rsidR="00830C1B" w:rsidRDefault="004B035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Q+4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</w:tr>
      <w:tr w:rsidR="00830C1B" w14:paraId="2061F2FB" w14:textId="77777777">
        <w:tc>
          <w:tcPr>
            <w:tcW w:w="1872" w:type="dxa"/>
          </w:tcPr>
          <w:p w14:paraId="7A981246" w14:textId="77777777" w:rsidR="00830C1B" w:rsidRDefault="004B0357">
            <w:r>
              <w:rPr>
                <w:rFonts w:cs="Calibri"/>
                <w:sz w:val="19"/>
              </w:rPr>
              <w:t>0-20</w:t>
            </w:r>
          </w:p>
        </w:tc>
        <w:tc>
          <w:tcPr>
            <w:tcW w:w="1872" w:type="dxa"/>
          </w:tcPr>
          <w:p w14:paraId="3701F726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1872" w:type="dxa"/>
          </w:tcPr>
          <w:p w14:paraId="6173400C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+12.14%</w:t>
            </w:r>
          </w:p>
        </w:tc>
        <w:tc>
          <w:tcPr>
            <w:tcW w:w="1872" w:type="dxa"/>
          </w:tcPr>
          <w:p w14:paraId="1D6D04FF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-3.24%</w:t>
            </w:r>
          </w:p>
        </w:tc>
        <w:tc>
          <w:tcPr>
            <w:tcW w:w="1872" w:type="dxa"/>
          </w:tcPr>
          <w:p w14:paraId="7A656F0B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-21.56%</w:t>
            </w:r>
          </w:p>
        </w:tc>
      </w:tr>
      <w:tr w:rsidR="00830C1B" w14:paraId="23A28168" w14:textId="77777777">
        <w:tc>
          <w:tcPr>
            <w:tcW w:w="1872" w:type="dxa"/>
          </w:tcPr>
          <w:p w14:paraId="68B355EE" w14:textId="77777777" w:rsidR="00830C1B" w:rsidRDefault="004B0357">
            <w:r>
              <w:rPr>
                <w:rFonts w:cs="Calibri"/>
                <w:sz w:val="19"/>
              </w:rPr>
              <w:t>20-40</w:t>
            </w:r>
          </w:p>
        </w:tc>
        <w:tc>
          <w:tcPr>
            <w:tcW w:w="1872" w:type="dxa"/>
          </w:tcPr>
          <w:p w14:paraId="42F487FE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171</w:t>
            </w:r>
          </w:p>
        </w:tc>
        <w:tc>
          <w:tcPr>
            <w:tcW w:w="1872" w:type="dxa"/>
          </w:tcPr>
          <w:p w14:paraId="3A11F0C4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-1.79%</w:t>
            </w:r>
          </w:p>
        </w:tc>
        <w:tc>
          <w:tcPr>
            <w:tcW w:w="1872" w:type="dxa"/>
          </w:tcPr>
          <w:p w14:paraId="5D4E72B5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+4.10%</w:t>
            </w:r>
          </w:p>
        </w:tc>
        <w:tc>
          <w:tcPr>
            <w:tcW w:w="1872" w:type="dxa"/>
          </w:tcPr>
          <w:p w14:paraId="25936BFD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+14.61%</w:t>
            </w:r>
          </w:p>
        </w:tc>
      </w:tr>
      <w:tr w:rsidR="00830C1B" w14:paraId="659EF5E6" w14:textId="77777777">
        <w:tc>
          <w:tcPr>
            <w:tcW w:w="1872" w:type="dxa"/>
          </w:tcPr>
          <w:p w14:paraId="2C4B4AF9" w14:textId="77777777" w:rsidR="00830C1B" w:rsidRDefault="004B0357">
            <w:r>
              <w:rPr>
                <w:rFonts w:cs="Calibri"/>
                <w:sz w:val="19"/>
              </w:rPr>
              <w:t>40-60</w:t>
            </w:r>
          </w:p>
        </w:tc>
        <w:tc>
          <w:tcPr>
            <w:tcW w:w="1872" w:type="dxa"/>
          </w:tcPr>
          <w:p w14:paraId="5F880447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295</w:t>
            </w:r>
          </w:p>
        </w:tc>
        <w:tc>
          <w:tcPr>
            <w:tcW w:w="1872" w:type="dxa"/>
          </w:tcPr>
          <w:p w14:paraId="0018FF20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+2.28%</w:t>
            </w:r>
          </w:p>
        </w:tc>
        <w:tc>
          <w:tcPr>
            <w:tcW w:w="1872" w:type="dxa"/>
          </w:tcPr>
          <w:p w14:paraId="5A000E3E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+7.80%</w:t>
            </w:r>
          </w:p>
        </w:tc>
        <w:tc>
          <w:tcPr>
            <w:tcW w:w="1872" w:type="dxa"/>
          </w:tcPr>
          <w:p w14:paraId="4F2F5364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+15.11%</w:t>
            </w:r>
          </w:p>
        </w:tc>
      </w:tr>
      <w:tr w:rsidR="00830C1B" w14:paraId="5CD02C39" w14:textId="77777777">
        <w:tc>
          <w:tcPr>
            <w:tcW w:w="1872" w:type="dxa"/>
          </w:tcPr>
          <w:p w14:paraId="1E4C58D7" w14:textId="77777777" w:rsidR="00830C1B" w:rsidRDefault="004B0357">
            <w:r>
              <w:rPr>
                <w:rFonts w:cs="Calibri"/>
                <w:sz w:val="19"/>
              </w:rPr>
              <w:t>60-80</w:t>
            </w:r>
          </w:p>
        </w:tc>
        <w:tc>
          <w:tcPr>
            <w:tcW w:w="1872" w:type="dxa"/>
          </w:tcPr>
          <w:p w14:paraId="71F8F33D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183</w:t>
            </w:r>
          </w:p>
        </w:tc>
        <w:tc>
          <w:tcPr>
            <w:tcW w:w="1872" w:type="dxa"/>
          </w:tcPr>
          <w:p w14:paraId="769861C5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+9.22%</w:t>
            </w:r>
          </w:p>
        </w:tc>
        <w:tc>
          <w:tcPr>
            <w:tcW w:w="1872" w:type="dxa"/>
          </w:tcPr>
          <w:p w14:paraId="4EEBB116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+15.98%</w:t>
            </w:r>
          </w:p>
        </w:tc>
        <w:tc>
          <w:tcPr>
            <w:tcW w:w="1872" w:type="dxa"/>
          </w:tcPr>
          <w:p w14:paraId="42F56FD6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+26.62%</w:t>
            </w:r>
          </w:p>
        </w:tc>
      </w:tr>
      <w:tr w:rsidR="00830C1B" w14:paraId="638F4F07" w14:textId="77777777">
        <w:tc>
          <w:tcPr>
            <w:tcW w:w="1872" w:type="dxa"/>
          </w:tcPr>
          <w:p w14:paraId="393D6B7C" w14:textId="77777777" w:rsidR="00830C1B" w:rsidRDefault="004B0357">
            <w:r>
              <w:rPr>
                <w:rFonts w:cs="Calibri"/>
                <w:sz w:val="19"/>
              </w:rPr>
              <w:t>80-100</w:t>
            </w:r>
          </w:p>
        </w:tc>
        <w:tc>
          <w:tcPr>
            <w:tcW w:w="1872" w:type="dxa"/>
          </w:tcPr>
          <w:p w14:paraId="045159A7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74</w:t>
            </w:r>
          </w:p>
        </w:tc>
        <w:tc>
          <w:tcPr>
            <w:tcW w:w="1872" w:type="dxa"/>
          </w:tcPr>
          <w:p w14:paraId="3FE91AD5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+27.21%</w:t>
            </w:r>
          </w:p>
        </w:tc>
        <w:tc>
          <w:tcPr>
            <w:tcW w:w="1872" w:type="dxa"/>
          </w:tcPr>
          <w:p w14:paraId="6CB73BF0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+74.76%</w:t>
            </w:r>
          </w:p>
        </w:tc>
        <w:tc>
          <w:tcPr>
            <w:tcW w:w="1872" w:type="dxa"/>
          </w:tcPr>
          <w:p w14:paraId="4C8348DE" w14:textId="77777777" w:rsidR="00830C1B" w:rsidRDefault="004B0357">
            <w:pPr>
              <w:jc w:val="right"/>
            </w:pPr>
            <w:r>
              <w:rPr>
                <w:rFonts w:cs="Calibri"/>
                <w:sz w:val="19"/>
              </w:rPr>
              <w:t>+209.78%</w:t>
            </w:r>
          </w:p>
        </w:tc>
      </w:tr>
    </w:tbl>
    <w:p w14:paraId="0BD7AC58" w14:textId="77777777" w:rsidR="00830C1B" w:rsidRDefault="004B0357">
      <w:pPr>
        <w:jc w:val="both"/>
      </w:pPr>
      <w:r>
        <w:rPr>
          <w:rFonts w:cs="Calibri"/>
        </w:rPr>
        <w:t>说明：未来收益基于季线收盘价计算；样本不足的区间请谨慎解读。该检验回答</w:t>
      </w:r>
      <w:r>
        <w:rPr>
          <w:rFonts w:cs="Calibri"/>
        </w:rPr>
        <w:t>“</w:t>
      </w:r>
      <w:r>
        <w:rPr>
          <w:rFonts w:cs="Calibri"/>
        </w:rPr>
        <w:t>筹码指标是否有预测价值</w:t>
      </w:r>
      <w:r>
        <w:rPr>
          <w:rFonts w:cs="Calibri"/>
        </w:rPr>
        <w:t>”</w:t>
      </w:r>
      <w:r>
        <w:rPr>
          <w:rFonts w:cs="Calibri"/>
        </w:rPr>
        <w:t>，不构成对未来收益的承诺。</w:t>
      </w:r>
    </w:p>
    <w:sectPr w:rsidR="00830C1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8A9F" w14:textId="77777777" w:rsidR="004B0357" w:rsidRDefault="004B0357" w:rsidP="00112C76">
      <w:pPr>
        <w:spacing w:after="0" w:line="240" w:lineRule="auto"/>
      </w:pPr>
      <w:r>
        <w:separator/>
      </w:r>
    </w:p>
  </w:endnote>
  <w:endnote w:type="continuationSeparator" w:id="0">
    <w:p w14:paraId="023519A8" w14:textId="77777777" w:rsidR="004B0357" w:rsidRDefault="004B0357" w:rsidP="00112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BC9BD" w14:textId="77777777" w:rsidR="004B0357" w:rsidRDefault="004B0357" w:rsidP="00112C76">
      <w:pPr>
        <w:spacing w:after="0" w:line="240" w:lineRule="auto"/>
      </w:pPr>
      <w:r>
        <w:separator/>
      </w:r>
    </w:p>
  </w:footnote>
  <w:footnote w:type="continuationSeparator" w:id="0">
    <w:p w14:paraId="0AD03E2C" w14:textId="77777777" w:rsidR="004B0357" w:rsidRDefault="004B0357" w:rsidP="00112C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320830">
    <w:abstractNumId w:val="8"/>
  </w:num>
  <w:num w:numId="2" w16cid:durableId="710154251">
    <w:abstractNumId w:val="6"/>
  </w:num>
  <w:num w:numId="3" w16cid:durableId="737361180">
    <w:abstractNumId w:val="5"/>
  </w:num>
  <w:num w:numId="4" w16cid:durableId="1978873806">
    <w:abstractNumId w:val="4"/>
  </w:num>
  <w:num w:numId="5" w16cid:durableId="1587574644">
    <w:abstractNumId w:val="7"/>
  </w:num>
  <w:num w:numId="6" w16cid:durableId="1753888009">
    <w:abstractNumId w:val="3"/>
  </w:num>
  <w:num w:numId="7" w16cid:durableId="1833905531">
    <w:abstractNumId w:val="2"/>
  </w:num>
  <w:num w:numId="8" w16cid:durableId="2007438460">
    <w:abstractNumId w:val="1"/>
  </w:num>
  <w:num w:numId="9" w16cid:durableId="164535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C76"/>
    <w:rsid w:val="0015074B"/>
    <w:rsid w:val="0029639D"/>
    <w:rsid w:val="00326F90"/>
    <w:rsid w:val="004B0357"/>
    <w:rsid w:val="00830C1B"/>
    <w:rsid w:val="00A953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97C778"/>
  <w14:defaultImageDpi w14:val="300"/>
  <w15:docId w15:val="{8E290D2A-ED92-4E8D-9544-119F9FA1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112C76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112C76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112C76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112C7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12C76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12C76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12C76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12C76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12C76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12C76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2026-08-15T23:59:00Z</dcterms:modified>
  <cp:category/>
</cp:coreProperties>
</file>