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Quarterly Business Review</w:t>
      </w:r>
    </w:p>
    <w:p>
      <w:pPr>
        <w:jc w:val="center"/>
      </w:pPr>
      <w:r>
        <w:rPr>
          <w:rFonts w:ascii="Microsoft YaHei" w:hAnsi="Microsoft YaHei"/>
          <w:sz w:val="32"/>
        </w:rPr>
        <w:t>2026-08-30</w:t>
      </w:r>
    </w:p>
    <w:p>
      <w:pPr>
        <w:jc w:val="center"/>
      </w:pPr>
      <w:r>
        <w:rPr>
          <w:rFonts w:ascii="Microsoft YaHei" w:hAnsi="Microsoft YaHei"/>
          <w:i/>
          <w:sz w:val="28"/>
        </w:rPr>
        <w:t>report, business, review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360" w:val="right" w:leader="dot"/>
        </w:tabs>
      </w:pPr>
      <w:hyperlink w:anchor="_Toc_1">
        <w:r>
          <w:t xml:space="preserve">Quarterly Business Review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2">
        <w:r>
          <w:t xml:space="preserve">Executive Summary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3">
        <w:r>
          <w:t xml:space="preserve">Key Metrics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4">
        <w:r>
          <w:t xml:space="preserve">Product Highlights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5">
        <w:r>
          <w:t xml:space="preserve">Platform</w:t>
        </w:r>
      </w:hyperlink>
      <w:r>
        <w:tab/>
      </w:r>
    </w:p>
    <w:p>
      <w:pPr>
        <w:pStyle w:val="TOC3"/>
        <w:tabs>
          <w:tab w:pos="9360" w:val="right" w:leader="dot"/>
        </w:tabs>
      </w:pPr>
      <w:hyperlink w:anchor="_Toc_6">
        <w:r>
          <w:t xml:space="preserve">Mobile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7">
        <w:r>
          <w:t xml:space="preserve">Operational Review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8">
        <w:r>
          <w:t xml:space="preserve">Risks and Mitigations</w:t>
        </w:r>
      </w:hyperlink>
      <w:r>
        <w:tab/>
      </w:r>
    </w:p>
    <w:p>
      <w:pPr>
        <w:pStyle w:val="TOC2"/>
        <w:tabs>
          <w:tab w:pos="9360" w:val="right" w:leader="dot"/>
        </w:tabs>
      </w:pPr>
      <w:hyperlink w:anchor="_Toc_9">
        <w:r>
          <w:t xml:space="preserve">Outlook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Quarterly Business Review</w:t>
      </w:r>
      <w:bookmarkEnd w:id="1"/>
    </w:p>
    <w:p>
      <w:pPr>
        <w:pStyle w:val="Heading2"/>
        <w:keepNext/>
        <w:keepLines/>
      </w:pPr>
      <w:bookmarkStart w:id="2" w:name="_Toc_2"/>
      <w:r>
        <w:rPr>
          <w:rFonts w:ascii="Arial" w:hAnsi="Arial" w:eastAsia="Microsoft YaHei" w:cs="Arial"/>
          <w:b/>
        </w:rPr>
        <w:t>Executive Summary</w:t>
      </w:r>
      <w:bookmarkEnd w:id="2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Revenue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grew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18.2%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year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over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year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driven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strong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demand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APAC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region.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Operating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margin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improved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21.5%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despite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higher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&amp;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investment.</w:t>
      </w:r>
    </w:p>
    <w:p>
      <w:pPr>
        <w:pStyle w:val="Heading2"/>
        <w:keepNext/>
        <w:keepLines/>
      </w:pPr>
      <w:bookmarkStart w:id="3" w:name="_Toc_3"/>
      <w:r>
        <w:rPr>
          <w:rFonts w:ascii="Arial" w:hAnsi="Arial" w:eastAsia="Microsoft YaHei" w:cs="Arial"/>
          <w:b/>
        </w:rPr>
        <w:t>Key Metrics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Metric</w:t>
            </w:r>
          </w:p>
        </w:tc>
        <w:tc>
          <w:tcPr>
            <w:tcW w:type="dxa" w:w="1872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Q2</w:t>
            </w:r>
          </w:p>
        </w:tc>
        <w:tc>
          <w:tcPr>
            <w:tcW w:type="dxa" w:w="1872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Q3</w:t>
            </w:r>
          </w:p>
        </w:tc>
        <w:tc>
          <w:tcPr>
            <w:tcW w:type="dxa" w:w="1872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Q4</w:t>
            </w:r>
          </w:p>
        </w:tc>
        <w:tc>
          <w:tcPr>
            <w:tcW w:type="dxa" w:w="1872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FY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Revenue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($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)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120.5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134.2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151.8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406.5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Gross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Margin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61.2%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62.0%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63.1%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62.1%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Customers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,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240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,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380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,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520</w:t>
            </w:r>
          </w:p>
        </w:tc>
        <w:tc>
          <w:tcPr>
            <w:tcW w:type="dxa" w:w="1872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,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520</w:t>
            </w:r>
          </w:p>
        </w:tc>
      </w:tr>
    </w:tbl>
    <w:p>
      <w:pPr>
        <w:pStyle w:val="Heading2"/>
        <w:keepNext/>
        <w:keepLines/>
      </w:pPr>
      <w:bookmarkStart w:id="4" w:name="_Toc_4"/>
      <w:r>
        <w:rPr>
          <w:rFonts w:ascii="Arial" w:hAnsi="Arial" w:eastAsia="Microsoft YaHei" w:cs="Arial"/>
          <w:b/>
        </w:rPr>
        <w:t>Product Highlights</w:t>
      </w:r>
      <w:bookmarkEnd w:id="4"/>
    </w:p>
    <w:p>
      <w:pPr>
        <w:pStyle w:val="Heading3"/>
        <w:keepNext/>
        <w:keepLines/>
      </w:pPr>
      <w:bookmarkStart w:id="5" w:name="_Toc_5"/>
      <w:r>
        <w:rPr>
          <w:rFonts w:ascii="Arial" w:hAnsi="Arial" w:eastAsia="Microsoft YaHei" w:cs="Arial"/>
          <w:b/>
        </w:rPr>
        <w:t>Platform</w:t>
      </w:r>
      <w:bookmarkEnd w:id="5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platform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shipped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24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releases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year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including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: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performance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improvements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new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reporting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module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security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hardening</w:t>
      </w:r>
    </w:p>
    <w:p>
      <w:pPr>
        <w:pStyle w:val="Heading3"/>
        <w:keepNext/>
        <w:keepLines/>
      </w:pPr>
      <w:bookmarkStart w:id="6" w:name="_Toc_6"/>
      <w:r>
        <w:rPr>
          <w:rFonts w:ascii="Arial" w:hAnsi="Arial" w:eastAsia="Microsoft YaHei" w:cs="Arial"/>
          <w:b/>
        </w:rPr>
        <w:t>Mobile</w:t>
      </w:r>
      <w:bookmarkEnd w:id="6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Mobile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adoption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grew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from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35%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48%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active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users.</w:t>
      </w:r>
    </w:p>
    <w:p>
      <w:pPr>
        <w:pStyle w:val="Heading2"/>
        <w:keepNext/>
        <w:keepLines/>
      </w:pPr>
      <w:bookmarkStart w:id="7" w:name="_Toc_7"/>
      <w:r>
        <w:rPr>
          <w:rFonts w:ascii="Arial" w:hAnsi="Arial" w:eastAsia="Microsoft YaHei" w:cs="Arial"/>
          <w:b/>
        </w:rPr>
        <w:t>Operational Review</w:t>
      </w:r>
      <w:bookmarkEnd w:id="7"/>
    </w:p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20"/>
          <w:u w:val="none"/>
        </w:rPr>
        <w:t>SELECT region, SUM(revenue) AS total</w:t>
        <w:br/>
        <w:t>FROM sales</w:t>
        <w:br/>
        <w:t>WHERE quarter = 'Q4'</w:t>
        <w:br/>
        <w:t>GROUP BY region</w:t>
        <w:br/>
        <w:t>ORDER BY total DESC;</w:t>
        <w:br/>
      </w:r>
    </w:p>
    <w:p>
      <w:pPr>
        <w:pStyle w:val="Heading2"/>
        <w:keepNext/>
        <w:keepLines/>
      </w:pPr>
      <w:bookmarkStart w:id="8" w:name="_Toc_8"/>
      <w:r>
        <w:rPr>
          <w:rFonts w:ascii="Arial" w:hAnsi="Arial" w:eastAsia="Microsoft YaHei" w:cs="Arial"/>
          <w:b/>
        </w:rPr>
        <w:t>Risks and Mitigations</w:t>
      </w:r>
      <w:bookmarkEnd w:id="8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/>
          <w:i w:val="0"/>
          <w:sz w:val="21"/>
          <w:u w:val="none"/>
        </w:rPr>
        <w:t>Supply</w:t>
      </w:r>
      <w:r>
        <w:rPr>
          <w:rFonts w:ascii="Calibri" w:hAnsi="Calibri" w:eastAsia="DengXian" w:cs="Calibri"/>
          <w:b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chain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diversified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suppliers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Q3.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/>
          <w:i w:val="0"/>
          <w:sz w:val="21"/>
          <w:u w:val="none"/>
        </w:rPr>
        <w:t>Talent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retention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rate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stable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92%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.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3. </w:t>
      </w:r>
      <w:r>
        <w:rPr>
          <w:rFonts w:ascii="Calibri" w:hAnsi="Calibri" w:eastAsia="DengXian" w:cs="Calibri"/>
          <w:b/>
          <w:i w:val="0"/>
          <w:sz w:val="21"/>
          <w:u w:val="none"/>
        </w:rPr>
        <w:t>Regulation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: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material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changes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expected.</w:t>
      </w:r>
    </w:p>
    <w:p>
      <w:pPr>
        <w:pStyle w:val="Heading2"/>
        <w:keepNext/>
        <w:keepLines/>
      </w:pPr>
      <w:bookmarkStart w:id="9" w:name="_Toc_9"/>
      <w:r>
        <w:rPr>
          <w:rFonts w:ascii="Arial" w:hAnsi="Arial" w:eastAsia="Microsoft YaHei" w:cs="Arial"/>
          <w:b/>
        </w:rPr>
        <w:t>Outlook</w:t>
      </w:r>
      <w:bookmarkEnd w:id="9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We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expect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continued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growth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12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-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15%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year.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full-year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guidance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remains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unchanged.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Further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details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are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available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color w:val="0000FF"/>
          <w:sz w:val="21"/>
          <w:u w:val="single"/>
        </w:rPr>
        <w:t>example.com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.</w:t>
      </w:r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This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real-world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style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must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compile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end-to-end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without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content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loss.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