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rFonts w:ascii="Arial" w:hAnsi="Arial" w:eastAsia="Microsoft YaHei" w:cs="Arial"/>
          <w:b/>
        </w:rPr>
        <w:t>Numeric</w:t>
      </w:r>
    </w:p>
    <w:tbl>
      <w:tblPr>
        <w:tblStyle w:val="TableGrid"/>
        <w:tblW w:type="dxa" w:w="4229"/>
        <w:tblLayout w:type="fixed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754"/>
        <w:gridCol w:w="754"/>
        <w:gridCol w:w="680"/>
        <w:gridCol w:w="680"/>
        <w:gridCol w:w="680"/>
        <w:gridCol w:w="680"/>
      </w:tblGrid>
      <w:tr>
        <w:trPr>
          <w:tblHeader w:val="true"/>
        </w:trPr>
        <w:tc>
          <w:tcPr>
            <w:tcW w:type="dxa" w:w="754"/>
            <w:vAlign w:val="top"/>
            <w:shd w:val="clear" w:color="auto" w:fill="2F5496"/>
            <w:shd w:val="clear" w:color="auto" w:fill="2F5496"/>
          </w:tcPr>
          <w:p>
            <w:pPr>
              <w:jc w:val="left"/>
            </w:pPr>
            <w:r>
              <w:rPr>
                <w:rFonts w:ascii="Calibri" w:hAnsi="Calibri" w:eastAsia="DengXian" w:cs="Calibri"/>
                <w:b/>
                <w:i w:val="0"/>
                <w:color w:val="FFFFFF"/>
                <w:sz w:val="19"/>
                <w:u w:val="none"/>
              </w:rPr>
              <w:t>Quarter</w:t>
            </w:r>
          </w:p>
        </w:tc>
        <w:tc>
          <w:tcPr>
            <w:tcW w:type="dxa" w:w="754"/>
            <w:vAlign w:val="top"/>
            <w:shd w:val="clear" w:color="auto" w:fill="2F5496"/>
            <w:shd w:val="clear" w:color="auto" w:fill="2F5496"/>
          </w:tcPr>
          <w:p>
            <w:pPr>
              <w:jc w:val="right"/>
            </w:pPr>
            <w:r>
              <w:rPr>
                <w:rFonts w:ascii="Calibri" w:hAnsi="Calibri" w:eastAsia="DengXian" w:cs="Calibri"/>
                <w:b/>
                <w:i w:val="0"/>
                <w:color w:val="FFFFFF"/>
                <w:sz w:val="19"/>
                <w:u w:val="none"/>
              </w:rPr>
              <w:t>Revenue</w:t>
            </w:r>
          </w:p>
        </w:tc>
        <w:tc>
          <w:tcPr>
            <w:tcW w:type="dxa" w:w="680"/>
            <w:vAlign w:val="top"/>
            <w:shd w:val="clear" w:color="auto" w:fill="2F5496"/>
            <w:shd w:val="clear" w:color="auto" w:fill="2F5496"/>
          </w:tcPr>
          <w:p>
            <w:pPr>
              <w:jc w:val="right"/>
            </w:pPr>
            <w:r>
              <w:rPr>
                <w:rFonts w:ascii="Calibri" w:hAnsi="Calibri" w:eastAsia="DengXian" w:cs="Calibri"/>
                <w:b/>
                <w:i w:val="0"/>
                <w:color w:val="FFFFFF"/>
                <w:sz w:val="19"/>
                <w:u w:val="none"/>
              </w:rPr>
              <w:t>Cost</w:t>
            </w:r>
          </w:p>
        </w:tc>
        <w:tc>
          <w:tcPr>
            <w:tcW w:type="dxa" w:w="680"/>
            <w:vAlign w:val="top"/>
            <w:shd w:val="clear" w:color="auto" w:fill="2F5496"/>
            <w:shd w:val="clear" w:color="auto" w:fill="2F5496"/>
          </w:tcPr>
          <w:p>
            <w:pPr>
              <w:jc w:val="right"/>
            </w:pPr>
            <w:r>
              <w:rPr>
                <w:rFonts w:ascii="Calibri" w:hAnsi="Calibri" w:eastAsia="DengXian" w:cs="Calibri"/>
                <w:b/>
                <w:i w:val="0"/>
                <w:color w:val="FFFFFF"/>
                <w:sz w:val="19"/>
                <w:u w:val="none"/>
              </w:rPr>
              <w:t>Margin</w:t>
            </w:r>
          </w:p>
        </w:tc>
        <w:tc>
          <w:tcPr>
            <w:tcW w:type="dxa" w:w="680"/>
            <w:vAlign w:val="top"/>
            <w:shd w:val="clear" w:color="auto" w:fill="2F5496"/>
            <w:shd w:val="clear" w:color="auto" w:fill="2F5496"/>
          </w:tcPr>
          <w:p>
            <w:pPr>
              <w:jc w:val="right"/>
            </w:pPr>
            <w:r>
              <w:rPr>
                <w:rFonts w:ascii="Calibri" w:hAnsi="Calibri" w:eastAsia="DengXian" w:cs="Calibri"/>
                <w:b/>
                <w:i w:val="0"/>
                <w:color w:val="FFFFFF"/>
                <w:sz w:val="19"/>
                <w:u w:val="none"/>
              </w:rPr>
              <w:t>Units</w:t>
            </w:r>
          </w:p>
        </w:tc>
        <w:tc>
          <w:tcPr>
            <w:tcW w:type="dxa" w:w="680"/>
            <w:vAlign w:val="top"/>
            <w:shd w:val="clear" w:color="auto" w:fill="2F5496"/>
            <w:shd w:val="clear" w:color="auto" w:fill="2F5496"/>
          </w:tcPr>
          <w:p>
            <w:pPr>
              <w:jc w:val="right"/>
            </w:pPr>
            <w:r>
              <w:rPr>
                <w:rFonts w:ascii="Calibri" w:hAnsi="Calibri" w:eastAsia="DengXian" w:cs="Calibri"/>
                <w:b/>
                <w:i w:val="0"/>
                <w:color w:val="FFFFFF"/>
                <w:sz w:val="19"/>
                <w:u w:val="none"/>
              </w:rPr>
              <w:t>Growth</w:t>
            </w:r>
          </w:p>
        </w:tc>
      </w:tr>
      <w:tr>
        <w:tc>
          <w:tcPr>
            <w:tcW w:type="dxa" w:w="754"/>
            <w:vAlign w:val="top"/>
          </w:tcPr>
          <w:p>
            <w:pPr>
              <w:jc w:val="left"/>
            </w:pP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Q1</w:t>
            </w:r>
          </w:p>
        </w:tc>
        <w:tc>
          <w:tcPr>
            <w:tcW w:type="dxa" w:w="754"/>
            <w:vAlign w:val="top"/>
          </w:tcPr>
          <w:p>
            <w:pPr>
              <w:jc w:val="right"/>
            </w:pP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1250.50</w:t>
            </w:r>
          </w:p>
        </w:tc>
        <w:tc>
          <w:tcPr>
            <w:tcW w:type="dxa" w:w="680"/>
            <w:vAlign w:val="top"/>
          </w:tcPr>
          <w:p>
            <w:pPr>
              <w:jc w:val="right"/>
            </w:pP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800.25</w:t>
            </w:r>
          </w:p>
        </w:tc>
        <w:tc>
          <w:tcPr>
            <w:tcW w:type="dxa" w:w="680"/>
            <w:vAlign w:val="top"/>
          </w:tcPr>
          <w:p>
            <w:pPr>
              <w:jc w:val="right"/>
            </w:pP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36.0%</w:t>
            </w:r>
          </w:p>
        </w:tc>
        <w:tc>
          <w:tcPr>
            <w:tcW w:type="dxa" w:w="680"/>
            <w:vAlign w:val="top"/>
          </w:tcPr>
          <w:p>
            <w:pPr>
              <w:jc w:val="right"/>
            </w:pP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12500</w:t>
            </w:r>
          </w:p>
        </w:tc>
        <w:tc>
          <w:tcPr>
            <w:tcW w:type="dxa" w:w="680"/>
            <w:vAlign w:val="top"/>
          </w:tcPr>
          <w:p>
            <w:pPr>
              <w:jc w:val="right"/>
            </w:pP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4.5%</w:t>
            </w:r>
          </w:p>
        </w:tc>
      </w:tr>
      <w:tr>
        <w:tc>
          <w:tcPr>
            <w:tcW w:type="dxa" w:w="754"/>
            <w:vAlign w:val="top"/>
          </w:tcPr>
          <w:p>
            <w:pPr>
              <w:jc w:val="left"/>
            </w:pP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Q2</w:t>
            </w:r>
          </w:p>
        </w:tc>
        <w:tc>
          <w:tcPr>
            <w:tcW w:type="dxa" w:w="754"/>
            <w:vAlign w:val="top"/>
          </w:tcPr>
          <w:p>
            <w:pPr>
              <w:jc w:val="right"/>
            </w:pP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1320.75</w:t>
            </w:r>
          </w:p>
        </w:tc>
        <w:tc>
          <w:tcPr>
            <w:tcW w:type="dxa" w:w="680"/>
            <w:vAlign w:val="top"/>
          </w:tcPr>
          <w:p>
            <w:pPr>
              <w:jc w:val="right"/>
            </w:pP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810.00</w:t>
            </w:r>
          </w:p>
        </w:tc>
        <w:tc>
          <w:tcPr>
            <w:tcW w:type="dxa" w:w="680"/>
            <w:vAlign w:val="top"/>
          </w:tcPr>
          <w:p>
            <w:pPr>
              <w:jc w:val="right"/>
            </w:pP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38.7%</w:t>
            </w:r>
          </w:p>
        </w:tc>
        <w:tc>
          <w:tcPr>
            <w:tcW w:type="dxa" w:w="680"/>
            <w:vAlign w:val="top"/>
          </w:tcPr>
          <w:p>
            <w:pPr>
              <w:jc w:val="right"/>
            </w:pP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13100</w:t>
            </w:r>
          </w:p>
        </w:tc>
        <w:tc>
          <w:tcPr>
            <w:tcW w:type="dxa" w:w="680"/>
            <w:vAlign w:val="top"/>
          </w:tcPr>
          <w:p>
            <w:pPr>
              <w:jc w:val="right"/>
            </w:pP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5.6%</w:t>
            </w:r>
          </w:p>
        </w:tc>
      </w:tr>
      <w:tr>
        <w:tc>
          <w:tcPr>
            <w:tcW w:type="dxa" w:w="754"/>
            <w:vAlign w:val="top"/>
          </w:tcPr>
          <w:p>
            <w:pPr>
              <w:jc w:val="left"/>
            </w:pP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Q3</w:t>
            </w:r>
          </w:p>
        </w:tc>
        <w:tc>
          <w:tcPr>
            <w:tcW w:type="dxa" w:w="754"/>
            <w:vAlign w:val="top"/>
          </w:tcPr>
          <w:p>
            <w:pPr>
              <w:jc w:val="right"/>
            </w:pP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1410.00</w:t>
            </w:r>
          </w:p>
        </w:tc>
        <w:tc>
          <w:tcPr>
            <w:tcW w:type="dxa" w:w="680"/>
            <w:vAlign w:val="top"/>
          </w:tcPr>
          <w:p>
            <w:pPr>
              <w:jc w:val="right"/>
            </w:pP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820.50</w:t>
            </w:r>
          </w:p>
        </w:tc>
        <w:tc>
          <w:tcPr>
            <w:tcW w:type="dxa" w:w="680"/>
            <w:vAlign w:val="top"/>
          </w:tcPr>
          <w:p>
            <w:pPr>
              <w:jc w:val="right"/>
            </w:pP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41.8%</w:t>
            </w:r>
          </w:p>
        </w:tc>
        <w:tc>
          <w:tcPr>
            <w:tcW w:type="dxa" w:w="680"/>
            <w:vAlign w:val="top"/>
          </w:tcPr>
          <w:p>
            <w:pPr>
              <w:jc w:val="right"/>
            </w:pP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13950</w:t>
            </w:r>
          </w:p>
        </w:tc>
        <w:tc>
          <w:tcPr>
            <w:tcW w:type="dxa" w:w="680"/>
            <w:vAlign w:val="top"/>
          </w:tcPr>
          <w:p>
            <w:pPr>
              <w:jc w:val="right"/>
            </w:pPr>
            <w:r>
              <w:rPr>
                <w:rFonts w:ascii="Calibri" w:hAnsi="Calibri" w:eastAsia="DengXian" w:cs="Calibri"/>
                <w:b w:val="0"/>
                <w:i w:val="0"/>
                <w:sz w:val="19"/>
                <w:u w:val="none"/>
              </w:rPr>
              <w:t>6.8%</w:t>
            </w:r>
          </w:p>
        </w:tc>
      </w:tr>
    </w:tbl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 w:eastAsia="DengXian" w:cs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 w:eastAsia="Microsoft YaHei" w:cs="Arial"/>
      <w:b/>
      <w:bCs/>
      <w:i w:val="0"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 w:eastAsia="Microsoft YaHei" w:cs="Arial"/>
      <w:b/>
      <w:bCs/>
      <w:i w:val="0"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 w:eastAsia="Microsoft YaHei" w:cs="Arial"/>
      <w:b/>
      <w:bCs/>
      <w:i w:val="0"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 w:ascii="Arial" w:hAnsi="Arial" w:eastAsia="Microsoft YaHei" w:cs="Arial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40" w:after="120"/>
      <w:outlineLvl w:val="4"/>
    </w:pPr>
    <w:rPr>
      <w:rFonts w:asciiTheme="majorHAnsi" w:eastAsiaTheme="majorEastAsia" w:hAnsiTheme="majorHAnsi" w:cstheme="majorBidi" w:ascii="Arial" w:hAnsi="Arial" w:eastAsia="Microsoft YaHei" w:cs="Arial"/>
      <w:b/>
      <w:i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40" w:after="120"/>
      <w:outlineLvl w:val="5"/>
    </w:pPr>
    <w:rPr>
      <w:rFonts w:asciiTheme="majorHAnsi" w:eastAsiaTheme="majorEastAsia" w:hAnsiTheme="majorHAnsi" w:cstheme="majorBidi" w:ascii="Arial" w:hAnsi="Arial" w:eastAsia="Microsoft YaHei" w:cs="Arial"/>
      <w:b/>
      <w:i/>
      <w:iCs/>
      <w:color w:val="000000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 w:cs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Microsoft YaHei" w:cs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 w:eastAsia="Microsoft YaHei" w:cs="Arial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 w:eastAsia="Microsoft YaHei" w:cs="Arial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 w:eastAsia="Microsoft YaHei" w:cs="Arial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" w:hAnsi="Arial" w:eastAsia="Microsoft YaHei" w:cs="Ari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