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for both Inside and Outside scenarios.</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identical present values at the portfolio rate!</w:t>
      </w:r>
    </w:p>
    <w:p>
      <w:pPr>
        <w:pStyle w:val="BodyText"/>
      </w:pPr>
      <w:r>
        <w:t xml:space="preserve">The household paid $17,966 at year 0 and received its present-value equivalent back over 20 years — the algebraic identity in production-system numbers. The conversion’s alpha components (rate-arbitrage Core, IRMAA savings, tax-drag) are identical between Inside and Outside; both scenarios report $9,766 of alpha in PV terms. Outside also admits an IRR measurement on the</w:t>
      </w:r>
      <w:r>
        <w:t xml:space="preserve"> </w:t>
      </w:r>
      <m:oMath>
        <m:r>
          <m:t>K</m:t>
        </m:r>
      </m:oMath>
      <w:r>
        <w:t xml:space="preserve"> </w:t>
      </w:r>
      <w:r>
        <w:t xml:space="preserve">outlay: 15.01%, exceeding the portfolio rate by ~8 percentage points — capturing the same alpha components on top of the (PV-zero-at-7%) SRC. Inside’s IRR is undefined due to lack of a cash 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Section 5 uses Fixed Annuity (FA) distributions: a constant nominal payment depleting the balance to zero over the owner’s 20-year life expectancy and producing the constant $1,695.86 per-year SRC increment.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All §5 inputs apply except the distribution method:</w:t>
      </w:r>
      <w:r>
        <w:t xml:space="preserve"> </w:t>
      </w:r>
      <m:oMath>
        <m:r>
          <m:t>C</m:t>
        </m:r>
      </m:oMath>
      <w:r>
        <w:t xml:space="preserve"> </w:t>
      </w:r>
      <w:r>
        <w:t xml:space="preserve">= $123,850,</w:t>
      </w:r>
      <w:r>
        <w:t xml:space="preserve"> </w:t>
      </w:r>
      <m:oMath>
        <m:r>
          <m:t>K</m:t>
        </m:r>
      </m:oMath>
      <w:r>
        <w:t xml:space="preserve"> </w:t>
      </w:r>
      <w:r>
        <w:t xml:space="preserve">= $17,966, 7.00% portfolio return, 20-year life expectancy. RMDs run from the IRS-mandated age 73 (year 2030) through age 92 (year 2049), followed by the SECURE Act’s 10-year beneficiary distribution period (years 2050–2059), distributed as a constant annuity-payment, not continued RMDs.</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the per-year</w:t>
      </w:r>
      <w:r>
        <w:t xml:space="preserve"> </w:t>
      </w:r>
      <w:r>
        <w:rPr>
          <w:b/>
          <w:bCs/>
        </w:rPr>
        <w:t xml:space="preserve">(Outside − Inside) increment is not constant</w:t>
      </w:r>
      <w:r>
        <w:t xml:space="preserve"> </w:t>
      </w:r>
      <w:r>
        <w:t xml:space="preserve">but varies with the age-indexed RMD divisor and post-conversion balance trajectory.</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varying per-year differentials from $831 (year 2030) to $2,596 (year 2049) for the owner plus a flat $3,901 (years 2050–2059) for the beneficiary.</w:t>
      </w:r>
    </w:p>
    <w:p>
      <w:pPr>
        <w:pStyle w:val="BodyText"/>
      </w:pPr>
      <w:r>
        <w:t xml:space="preserve">Unlike FA’s flat $1,695.86 per-year differential (§5.3), RMD’s varies because each year’s distribution is the prior balance divided by an age-indexed divisor that changes annually.</w:t>
      </w:r>
      <w:r>
        <w:t xml:space="preserve"> </w:t>
      </w:r>
      <w:r>
        <w:rPr>
          <w:b/>
          <w:bCs/>
        </w:rPr>
        <w:t xml:space="preserve">The varying per-year SRC differential is a feature of distribution-method-specific cash flows, not a violation of the SRC framework.</w:t>
      </w:r>
      <w:r>
        <w:t xml:space="preserve"> </w:t>
      </w:r>
      <w:r>
        <w:t xml:space="preserve">Across both distribution methods, the SRC’s PV at the portfolio rate equals exactly zero.</w:t>
      </w:r>
    </w:p>
    <w:bookmarkEnd w:id="29"/>
    <w:bookmarkStart w:id="30" w:name="Xb87e6099050fbf12f4f5dd010b3c526c68ff61d"/>
    <w:p>
      <w:pPr>
        <w:pStyle w:val="Heading3"/>
      </w:pPr>
      <w:r>
        <w:t xml:space="preserve">5B.4 The Payout Multiple — Closed Form and Empirical Validation</w:t>
      </w:r>
    </w:p>
    <w:p>
      <w:pPr>
        <w:pStyle w:val="FirstParagraph"/>
      </w:pPr>
      <w:r>
        <w:t xml:space="preserve">The SRC’s</w:t>
      </w:r>
      <w:r>
        <w:t xml:space="preserve"> </w:t>
      </w:r>
      <w:r>
        <w:rPr>
          <w:b/>
          <w:bCs/>
        </w:rPr>
        <w:t xml:space="preserve">lifetime nominal payout</w:t>
      </w:r>
      <w:r>
        <w:t xml:space="preserve"> </w:t>
      </w:r>
      <w:r>
        <w:t xml:space="preserve">is the sum of yearly after-tax Roth distributions attributable to the tax payment entering the Roth, conceptually equal to the sum of per-year (Outside − Inside) ΔATCFs over the full distribution horizon.</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distribution schedule. Under FA distribution at</w:t>
      </w:r>
      <w:r>
        <w:t xml:space="preserve"> </w:t>
      </w:r>
      <m:oMath>
        <m:r>
          <m:t>r</m:t>
        </m:r>
        <m:r>
          <m:rPr>
            <m:sty m:val="p"/>
          </m:rPr>
          <m:t>=</m:t>
        </m:r>
        <m:r>
          <m:t>7</m:t>
        </m:r>
        <m:r>
          <m:rPr>
            <m:sty m:val="p"/>
          </m:rPr>
          <m:t>%</m:t>
        </m:r>
      </m:oMath>
      <w:r>
        <w:t xml:space="preserve"> </w:t>
      </w:r>
      <w:r>
        <w:t xml:space="preserve">over</w:t>
      </w:r>
      <w:r>
        <w:t xml:space="preserve"> </w:t>
      </w:r>
      <m:oMath>
        <m:r>
          <m:t>N</m:t>
        </m:r>
        <m:r>
          <m:rPr>
            <m:sty m:val="p"/>
          </m:rPr>
          <m:t>=</m:t>
        </m:r>
        <m:r>
          <m:t>20</m:t>
        </m:r>
      </m:oMath>
      <w:r>
        <w:t xml:space="preserve"> </w:t>
      </w:r>
      <w:r>
        <w:t xml:space="preserve">years,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 1.88786. Under RMD distribution (20-year owner period plus 10-year SECURE beneficiary period), it is determined empirically from the year-by-year RMD divisor applied to the SRC’s</w:t>
      </w:r>
      <w:r>
        <w:t xml:space="preserve"> </w:t>
      </w:r>
      <m:oMath>
        <m:r>
          <m:t>K</m:t>
        </m:r>
      </m:oMath>
      <w:r>
        <w:t xml:space="preserve"> </w:t>
      </w:r>
      <w:r>
        <w:t xml:space="preserve">dollars; the Outside RMD scenario yields 3.9647, so the lifetime nominal payout = $17,966 × 3.9647 = $71,229.59.</w:t>
      </w:r>
    </w:p>
    <w:p>
      <w:pPr>
        <w:pStyle w:val="BodyText"/>
      </w:pPr>
      <w:r>
        <w:t xml:space="preserve">The 3.9647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is computed first and serves as the benchmark.</w:t>
      </w:r>
    </w:p>
    <w:p>
      <w:pPr>
        <w:pStyle w:val="BodyText"/>
      </w:pPr>
      <w:r>
        <w:rPr>
          <w:b/>
          <w:bCs/>
        </w:rPr>
        <w:t xml:space="preserve">Why the same 3.9647 appears at every cumulative bracket.</w:t>
      </w:r>
      <w:r>
        <w:t xml:space="preserve"> </w:t>
      </w:r>
      <w:r>
        <w:t xml:space="preserve">Conversions of different cumulative sizes — filling through the 10%, 12%, or 22% bracket (the $123,850 case examined here) — each independently compute the same 3.9647 payout multiple from their own ΔATCF,</w:t>
      </w:r>
      <w:r>
        <w:t xml:space="preserve"> </w:t>
      </w:r>
      <m:oMath>
        <m:r>
          <m:t>K</m:t>
        </m:r>
      </m:oMath>
      <w:r>
        <w:t xml:space="preserve">, and rate-spread inputs. This is the empirical signature of the SRC framework’s internal consistency. The payout multiple is a</w:t>
      </w:r>
      <w:r>
        <w:t xml:space="preserve"> </w:t>
      </w:r>
      <w:r>
        <w:rPr>
          <w:b/>
          <w:bCs/>
        </w:rPr>
        <w:t xml:space="preserve">structural property of the distribution schedule</w:t>
      </w:r>
      <w:r>
        <w:t xml:space="preserve">, not an artifact of any particular conversion size.</w:t>
      </w:r>
    </w:p>
    <w:p>
      <w:pPr>
        <w:pStyle w:val="BodyText"/>
      </w:pPr>
      <w:r>
        <w:rPr>
          <w:b/>
          <w:bCs/>
        </w:rPr>
        <w:t xml:space="preserve">Empirical validation against the year-by-year sum.</w:t>
      </w:r>
      <w:r>
        <w:t xml:space="preserve"> </w:t>
      </w:r>
      <w:r>
        <w:t xml:space="preserve">The closed-form lifetime nominal payout of $71,229.59 matches the §5B.2 table’s year-by-year nominal sum of (Outside − Inside) ΔATCF of $71,229.46 to within $0.13.</w:t>
      </w:r>
    </w:p>
    <w:p>
      <w:pPr>
        <w:pStyle w:val="BodyText"/>
      </w:pPr>
      <w:r>
        <w:rPr>
          <w:b/>
          <w:bCs/>
        </w:rPr>
        <w:t xml:space="preserve">Comparison to FA.</w:t>
      </w:r>
      <w:r>
        <w:t xml:space="preserve"> </w:t>
      </w:r>
      <w:r>
        <w:t xml:space="preserve">For the Outside FA scenario, the lifetime nominal payout = $17,966 × 1.88786 = $33,917.27. The RMD multiplier (3.9647) exceeds the FA multiplier (1.88786) by ~2.1× because RMD’s distribution horizon is longer (30 years vs 20 for FA): the SRC’s</w:t>
      </w:r>
      <w:r>
        <w:t xml:space="preserve"> </w:t>
      </w:r>
      <m:oMath>
        <m:r>
          <m:t>K</m:t>
        </m:r>
      </m:oMath>
      <w:r>
        <w:t xml:space="preserve"> </w:t>
      </w:r>
      <w:r>
        <w:t xml:space="preserve">dollars compound more years inside the Roth before being fully distributed, producing larger nominal cash flows over the longer horizon. In PV terms at the portfolio rate, both methods produce the same SRC value of zero by §4’s identity — the difference is purely in nominal lifetime cash flow, not in SRC economic value.</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2026-05-14T22:43:10Z</dcterms:created>
  <dcterms:modified xsi:type="dcterms:W3CDTF">2026-05-14T22:43:10Z</dcterms:modified>
</cp:coreProperties>
</file>

<file path=docProps/custom.xml><?xml version="1.0" encoding="utf-8"?>
<Properties xmlns="http://schemas.openxmlformats.org/officeDocument/2006/custom-properties" xmlns:vt="http://schemas.openxmlformats.org/officeDocument/2006/docPropsVTypes"/>
</file>