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Working draft — 2026-05-06</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and Social Security / IRMAA / tax-drag interactions.</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three ways: (a) the value depends on</w:t>
      </w:r>
      <w:r>
        <w:t xml:space="preserve"> </w:t>
      </w:r>
      <m:oMath>
        <m:r>
          <m:t>r</m:t>
        </m:r>
        <m:r>
          <m:rPr>
            <m:sty m:val="p"/>
          </m:rPr>
          <m:t>&gt;</m:t>
        </m:r>
        <m:r>
          <m:t>R</m:t>
        </m:r>
      </m:oMath>
      <w:r>
        <w:t xml:space="preserve"> </w:t>
      </w:r>
      <w:r>
        <w:t xml:space="preserve">— i.e., it operates entirely through tax-drag arbitrage in the alternative wrapper —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(b) Reichenstein &amp; Meyer give an end-of-period FV expression but do not provide a per-year cash-flow stream isolating the tax-payment-source as a separable IRR; and (c) they do not state the present-value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or derive a separable Break-Even Tax Rate adjustment. Their Strategy 3 captures the same economic phenomenon the SRC names; their formalism leaves the per-year structure, PV identity, and BETR extension unstated.</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contrasting Outside (real IRR) with Inside (sentinel-flag IRR).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Nalebuff supplies the mathematical core; Haghani and White publish it.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independently arrived at and substantively aligned with the SRC concept, but their formula collapses ordinary-income and capital-gains rates into one expression and presents the wrapper-transition benefit as a single Benefit and Break-Even-Tax-Rate calculation rather than as a per-year separable stream with its own IRR and PV identity. Notably,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by treating the conversion-tax-payment source as an input. Their Appendix A worked example shows BETR dropping from 35% (no outside payment) to 29.6%, 23.5%, and 14.1% as the outside source becomes more tax-inefficient (or as backdoor contribution capacity is invoked). Outside-payment is folded into a single break-even number, not a separate IRR / FV / PV bucket. Our SRC extension treats the outside-payment value as a first-class quantity with its own measurement, complementing Vanguard’s BETR by making explicit what Vanguard’s model treats as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and names</w:t>
      </w:r>
      <w:r>
        <w:t xml:space="preserve"> </w:t>
      </w:r>
      <w:r>
        <w:t xml:space="preserve">“tax drag compounding”</w:t>
      </w:r>
      <w:r>
        <w:t xml:space="preserve"> </w:t>
      </w:r>
      <w:r>
        <w:t xml:space="preserve">as the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w:r>
        <w:rPr>
          <w:rStyle w:val="VerbatimChar"/>
        </w:rPr>
        <w:t xml:space="preserve">PV(Outside − Inside) = 0</w:t>
      </w:r>
      <w:r>
        <w:t xml:space="preserve"> </w:t>
      </w:r>
      <w:r>
        <w:t xml:space="preserve">at</w:t>
      </w:r>
      <w:r>
        <w:t xml:space="preserve"> </w:t>
      </w:r>
      <w:r>
        <w:rPr>
          <w:rStyle w:val="VerbatimChar"/>
        </w:rPr>
        <w:t xml:space="preserve">discount = r</w:t>
      </w:r>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 clarifying this distinction is one of the contributions of the present paper.</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Williams (AAII Research Triangle, June 2024); White Coat Investor; Allan Roth; Christine Benz / Morningstar; and the Schwab / Fidelity / T. Rowe Price retirement-research series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IRMAA,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liability with face value $25,000 in PV terms.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IRMAA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 The application separates ΔATCF into three sub-streams (distribution-driven ATCF excluding IRMAA; IRMAA savings; reduced-RMD tax drag); to isolate the SRC effect cleanly we work with the distribution-driven ATCF excluding IRMAA.</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 ex-IRMAA</w:t>
            </w:r>
          </w:p>
        </w:tc>
        <w:tc>
          <w:tcPr/>
          <w:p>
            <w:pPr>
              <w:pStyle w:val="Compact"/>
            </w:pPr>
            <w:r>
              <w:t xml:space="preserve">Outside ΔATCF ex-IRMAA</w:t>
            </w:r>
          </w:p>
        </w:tc>
        <w:tc>
          <w:tcPr/>
          <w:p>
            <w:pPr>
              <w:pStyle w:val="Compact"/>
            </w:pPr>
            <w:r>
              <w:t xml:space="preserve">Outside − Inside</w:t>
            </w:r>
          </w:p>
        </w:tc>
        <w:tc>
          <w:tcPr/>
          <w:p>
            <w:pPr>
              <w:pStyle w:val="Compact"/>
            </w:pPr>
            <w:r>
              <w:t xml:space="preserve">Predicted increment</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year-0 outflow</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$1,695.86 ✓</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$1,695.86 ✓</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$1,695.86 ✓</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$1,695.86 ✓</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$1,695.86 ✓</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p>
        </w:tc>
      </w:tr>
      <w:tr>
        <w:tc>
          <w:tcPr/>
          <w:p>
            <w:pPr>
              <w:pStyle w:val="Compact"/>
            </w:pPr>
            <w:r>
              <w:rPr>
                <w:b/>
                <w:bCs/>
              </w:rPr>
              <w:t xml:space="preserve">20-yr PV @ 7%</w:t>
            </w:r>
          </w:p>
        </w:tc>
        <w:tc>
          <w:tcPr/>
          <w:p>
            <w:pPr>
              <w:pStyle w:val="Compact"/>
            </w:pPr>
          </w:p>
        </w:tc>
        <w:tc>
          <w:tcPr/>
          <w:p>
            <w:pPr>
              <w:pStyle w:val="Compact"/>
            </w:pPr>
            <w:r>
              <w:rPr>
                <w:b/>
                <w:bCs/>
              </w:rPr>
              <w:t xml:space="preserve">$9,766</w:t>
            </w:r>
          </w:p>
        </w:tc>
        <w:tc>
          <w:tcPr/>
          <w:p>
            <w:pPr>
              <w:pStyle w:val="Compact"/>
            </w:pPr>
            <w:r>
              <w:rPr>
                <w:b/>
                <w:bCs/>
              </w:rPr>
              <w:t xml:space="preserve">$9,766</w:t>
            </w:r>
          </w:p>
        </w:tc>
        <w:tc>
          <w:tcPr/>
          <w:p>
            <w:pPr>
              <w:pStyle w:val="Compact"/>
            </w:pPr>
            <w:r>
              <w:rPr>
                <w:b/>
                <w:bCs/>
              </w:rPr>
              <w:t xml:space="preserve">$0</w:t>
            </w:r>
          </w:p>
        </w:tc>
        <w:tc>
          <w:tcPr/>
          <w:p>
            <w:pPr>
              <w:pStyle w:val="Compact"/>
            </w:pP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$1,696 (rounded; $1,695.86 unrounded) in every distribution year 2027–2046</w:t>
      </w:r>
      <w:r>
        <w:t xml:space="preserve">. The Outside-scenario data reports per-year increments matching the algebraic prediction to the dollar in 20 of 20 years; the single non-matching year (2028) is the IRMAA conversion-year lookback effect (IRMAA savings of −$1,254 for that year only, a separately accounted effect orthogonal to the SRC). Adding the IRMAA hit back to 2028’s increment recovers $1,696, making the SRC’s structural per-year contribution</w:t>
      </w:r>
      <w:r>
        <w:t xml:space="preserve"> </w:t>
      </w:r>
      <w:r>
        <w:rPr>
          <w:b/>
          <w:bCs/>
        </w:rPr>
        <w:t xml:space="preserve">uniform across all 20 years</w:t>
      </w:r>
      <w:r>
        <w:t xml:space="preserve">.</w:t>
      </w:r>
    </w:p>
    <w:p>
      <w:pPr>
        <w:pStyle w:val="BodyText"/>
      </w:pPr>
      <w:r>
        <w:t xml:space="preserve">We verify the predicted constant against the algebraic formula:</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PV column is the decisive empirical evidence:</w:t>
      </w:r>
    </w:p>
    <w:p>
      <w:pPr>
        <w:pStyle w:val="Compact"/>
        <w:numPr>
          <w:ilvl w:val="0"/>
          <w:numId w:val="1003"/>
        </w:numPr>
      </w:pPr>
      <w:r>
        <w:rPr>
          <w:b/>
          <w:bCs/>
        </w:rPr>
        <w:t xml:space="preserve">Inside ΔATCF total PV at 7%: $9,766</w:t>
      </w:r>
    </w:p>
    <w:p>
      <w:pPr>
        <w:pStyle w:val="Compact"/>
        <w:numPr>
          <w:ilvl w:val="0"/>
          <w:numId w:val="1003"/>
        </w:numPr>
      </w:pPr>
      <w:r>
        <w:rPr>
          <w:b/>
          <w:bCs/>
        </w:rPr>
        <w:t xml:space="preserve">Outside ΔATCF total PV at 7%: $9,766</w:t>
      </w:r>
    </w:p>
    <w:p>
      <w:pPr>
        <w:pStyle w:val="FirstParagraph"/>
      </w:pPr>
      <w:r>
        <w:t xml:space="preserve">These are equal</w:t>
      </w:r>
      <w:r>
        <w:t xml:space="preserve"> </w:t>
      </w:r>
      <w:r>
        <w:rPr>
          <w:b/>
          <w:bCs/>
        </w:rPr>
        <w:t xml:space="preserve">to the dollar</w:t>
      </w:r>
      <w:r>
        <w:t xml:space="preserve">. The full IRR Cash Flow Decomposition PV totals (which add IRMAA savings PV and tax-drag-RMD PV to the ΔATCF-ex-IRMAA PV) also match between scenarios — both report total IRR cash-flow PV of $14,327 in the application’s display. Identical PV is the empirical signature of the algebraic identity proved in Section 4.</w:t>
      </w:r>
    </w:p>
    <w:p>
      <w:pPr>
        <w:pStyle w:val="BodyText"/>
      </w:pPr>
      <w:r>
        <w:t xml:space="preserve">Reconciliation: The −$17,966 year-0 outflow under Outside funding is exactly compensated by the present value of the constant $1,695.86/year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$178*</w:t>
            </w:r>
          </w:p>
        </w:tc>
        <w:tc>
          <w:tcPr/>
          <w:p>
            <w:pPr>
              <w:pStyle w:val="Compact"/>
            </w:pPr>
            <w:r>
              <w:t xml:space="preserve">$1,069</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$30,409</w:t>
            </w:r>
          </w:p>
        </w:tc>
        <w:tc>
          <w:tcPr/>
          <w:p>
            <w:pPr>
              <w:pStyle w:val="Compact"/>
            </w:pPr>
            <w:r>
              <w:rPr>
                <w:b/>
                <w:bCs/>
              </w:rPr>
              <w:t xml:space="preserve">$62,633</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$50,559</w:t>
            </w:r>
          </w:p>
        </w:tc>
        <w:tc>
          <w:tcPr/>
          <w:p>
            <w:pPr>
              <w:pStyle w:val="Compact"/>
            </w:pPr>
            <w:r>
              <w:rPr>
                <w:b/>
                <w:bCs/>
              </w:rPr>
              <w:t xml:space="preserve">$121,788</w:t>
            </w:r>
          </w:p>
        </w:tc>
        <w:tc>
          <w:tcPr/>
          <w:p>
            <w:pPr>
              <w:pStyle w:val="Compact"/>
            </w:pPr>
            <w:r>
              <w:rPr>
                <w:b/>
                <w:bCs/>
              </w:rPr>
              <w:t xml:space="preserve">+$71,229</w:t>
            </w:r>
          </w:p>
        </w:tc>
        <w:tc>
          <w:tcPr/>
          <w:p>
            <w:pPr>
              <w:pStyle w:val="Compact"/>
            </w:pPr>
            <w:r>
              <w:rPr>
                <w:b/>
                <w:bCs/>
              </w:rPr>
              <w:t xml:space="preserve">+$17,966</w:t>
            </w:r>
          </w:p>
        </w:tc>
      </w:tr>
    </w:tbl>
    <w:p>
      <w:pPr>
        <w:pStyle w:val="BodyText"/>
      </w:pPr>
      <w:r>
        <w:t xml:space="preserve">* 2031 contains the IRMAA conversion-year lookback hit (IRMAA savings of −$1,431 for that year only).</w:t>
      </w:r>
    </w:p>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it via a closed-form multiplier rather than by integrating the year stream:</w:t>
      </w:r>
    </w:p>
    <w:p>
      <w:pPr>
        <w:pStyle w:val="BodyText"/>
      </w:pPr>
      <m:oMathPara>
        <m:oMathParaPr>
          <m:jc m:val="center"/>
        </m:oMathParaPr>
        <m:oMath>
          <m:eqArr>
            <m:e>
              <m:r>
                <m:rPr>
                  <m:nor/>
                  <m:sty m:val="p"/>
                </m:rPr>
                <m:t>Lifetime nominal payout</m:t>
              </m:r>
              <m:r>
                <m:t>&amp;</m:t>
              </m:r>
              <m:r>
                <m:rPr>
                  <m:sty m:val="p"/>
                </m:rPr>
                <m:t>=</m:t>
              </m:r>
              <m:r>
                <m:t>K</m:t>
              </m:r>
              <m:r>
                <m:rPr>
                  <m:sty m:val="p"/>
                </m:rPr>
                <m:t>⋅</m:t>
              </m:r>
              <m:r>
                <m:rPr>
                  <m:nor/>
                  <m:sty m:val="p"/>
                </m:rPr>
                <m:t>payout multiple</m:t>
              </m:r>
            </m:e>
            <m:e>
              <m:r>
                <m:rPr>
                  <m:nor/>
                  <m:sty m:val="p"/>
                </m:rPr>
                <m:t>payout multiple</m:t>
              </m:r>
              <m:r>
                <m:t>&amp;</m:t>
              </m:r>
              <m:r>
                <m:rPr>
                  <m:sty m:val="p"/>
                </m:rPr>
                <m:t>=</m:t>
              </m:r>
              <m:f>
                <m:fPr>
                  <m:type m:val="bar"/>
                </m:fPr>
                <m:num>
                  <m:r>
                    <m:rPr>
                      <m:nor/>
                      <m:sty m:val="p"/>
                    </m:rPr>
                    <m:t>Total ATCF Change (FV)</m:t>
                  </m:r>
                </m:num>
                <m:den>
                  <m:r>
                    <m:t>K</m:t>
                  </m:r>
                  <m:r>
                    <m:rPr>
                      <m:sty m:val="p"/>
                    </m:rPr>
                    <m:t>+</m:t>
                  </m:r>
                  <m:r>
                    <m:rPr>
                      <m:nor/>
                      <m:sty m:val="p"/>
                    </m:rPr>
                    <m:t>Tax-Rate Spread (FV)</m:t>
                  </m:r>
                </m:den>
              </m:f>
            </m:e>
          </m:eqArr>
        </m:oMath>
      </m:oMathPara>
    </w:p>
    <w:p>
      <w:pPr>
        <w:pStyle w:val="FirstParagraph"/>
      </w:pPr>
      <w:r>
        <w:t xml:space="preserve">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5"/>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5"/>
        </w:numPr>
      </w:pPr>
      <w:r>
        <w:t xml:space="preserve">This $15,951 represents the household receiving back $1,696/year for 20 years (= $33,920 nominal) on a $17,966 outflow at year 0</w:t>
      </w:r>
    </w:p>
    <w:p>
      <w:pPr>
        <w:pStyle w:val="Compact"/>
        <w:numPr>
          <w:ilvl w:val="0"/>
          <w:numId w:val="1005"/>
        </w:numPr>
      </w:pPr>
      <w:r>
        <w:t xml:space="preserve">Net nominal: $33,920 − $17,966 = $15,954 (rounding-equivalent to the table’s $15,951)</w:t>
      </w:r>
    </w:p>
    <w:p>
      <w:pPr>
        <w:pStyle w:val="Compact"/>
        <w:numPr>
          <w:ilvl w:val="0"/>
          <w:numId w:val="1005"/>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6"/>
        </w:numPr>
      </w:pPr>
      <w:r>
        <w:rPr>
          <w:b/>
          <w:bCs/>
        </w:rPr>
        <w:t xml:space="preserve">Outside FA scenario (§5):</w:t>
      </w:r>
      <w:r>
        <w:t xml:space="preserve"> </w:t>
      </w:r>
      <w:r>
        <w:t xml:space="preserve">FV $917.08 / PV $485.78</w:t>
      </w:r>
    </w:p>
    <w:p>
      <w:pPr>
        <w:pStyle w:val="Compact"/>
        <w:numPr>
          <w:ilvl w:val="0"/>
          <w:numId w:val="1006"/>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 — and the application correctly captures it.</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d</m:t>
        </m:r>
        <m:r>
          <m:rPr>
            <m:sty m:val="p"/>
          </m:rPr>
          <m:t>&gt;</m:t>
        </m:r>
        <m:r>
          <m:t>r</m:t>
        </m:r>
      </m:oMath>
      <w:r>
        <w:t xml:space="preserve">, the SRC produces negative PV (worse than the portfolio’s growth). If</w:t>
      </w:r>
      <w:r>
        <w:t xml:space="preserve"> </w:t>
      </w:r>
      <m:oMath>
        <m:r>
          <m:t>d</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7"/>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the household no longer has to take, since the conversion shrinks the Traditional balance and thereby reduces lifetime RMDs — a channel present for both Inside and Outside conversions, since the RMD reduction is a consequence of the conversion event itself, not the funding source). An Inside conversion is rational if the sum of these alpha components is PV-positive, since Inside funding requires no outside cash outlay.</w:t>
      </w:r>
    </w:p>
    <w:p>
      <w:pPr>
        <w:numPr>
          <w:ilvl w:val="0"/>
          <w:numId w:val="1007"/>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8"/>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8"/>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19 of 20 distribution years (the 20th year contains a separately accounted IRMAA conversion-year lookback hit),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8"/>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8"/>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9"/>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9"/>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2026-05-13T14:15:20Z</dcterms:created>
  <dcterms:modified xsi:type="dcterms:W3CDTF">2026-05-13T14:15:20Z</dcterms:modified>
</cp:coreProperties>
</file>

<file path=docProps/custom.xml><?xml version="1.0" encoding="utf-8"?>
<Properties xmlns="http://schemas.openxmlformats.org/officeDocument/2006/custom-properties" xmlns:vt="http://schemas.openxmlformats.org/officeDocument/2006/docPropsVTypes"/>
</file>