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2026-05-15</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rate</w:t>
      </w:r>
      <w:r>
        <w:t xml:space="preserve"> </w:t>
      </w:r>
      <m:oMath>
        <m:sSub>
          <m:e>
            <m:r>
              <m:t>t</m:t>
            </m:r>
          </m:e>
          <m:sub>
            <m:r>
              <m:t>C</m:t>
            </m:r>
          </m:sub>
        </m:sSub>
      </m:oMath>
      <w:r>
        <w:t xml:space="preserve"> </w:t>
      </w:r>
      <w:r>
        <w:t xml:space="preserve">and the future distribution-year rate</w:t>
      </w:r>
      <w:r>
        <w:t xml:space="preserve"> </w:t>
      </w:r>
      <m:oMath>
        <m:sSub>
          <m:e>
            <m:r>
              <m:t>t</m:t>
            </m:r>
          </m:e>
          <m:sub>
            <m:r>
              <m:t>D</m:t>
            </m:r>
          </m:sub>
        </m:sSub>
      </m:oMath>
      <w:r>
        <w:t xml:space="preserve">. This framing is incomplete. When the conversion tax is paid from outside the retirement account, dollars equivalent to the conversion tax migrate from a taxable wrapper into a tax-free wrapper, where they grow free of income tax for the life of the account and any beneficiaries. We name this effect the</w:t>
      </w:r>
      <w:r>
        <w:t xml:space="preserve"> </w:t>
      </w:r>
      <w:r>
        <w:rPr>
          <w:b/>
          <w:bCs/>
        </w:rPr>
        <w:t xml:space="preserve">Synthetic Roth Contribution</w:t>
      </w:r>
      <w:r>
        <w:t xml:space="preserve"> </w:t>
      </w:r>
      <w:r>
        <w:t xml:space="preserve">(SRC). The SRC framework was introduced in Cheshire (2025, SSRN 5205840), which established the concept and decomposed conversion-tax payback into SRC plus tax-rate-arbitrage components. The present paper formalizes the SRC as a separable component with its own per-year IRR / PV / FV identity, distinct from the rate-arbitrage Core, the Medicare-surcharge-reduction alpha, and the RMD tax-drag alpha.</w:t>
      </w:r>
    </w:p>
    <w:p>
      <w:pPr>
        <w:pStyle w:val="BodyText"/>
      </w:pPr>
      <w:r>
        <w:t xml:space="preserve">We prove the SRC’s central result four independent ways: (1) algebraically, via the annuity-payment / present-value identity, showing that 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exactly $1,695.86 in all 20 distribution years, matching the algebraic prediction to the cent; (3) empirically under RMD distributions, where the per-year increment varies but integrates in PV to within 4 cents of the conversion tax over the 30-year horizon; and (4) decompositionally, showing that the end-of-life wealth difference between Outside and Inside paths cannot be reconciled without including the SRC term. The SRC’s lasting economic value emerges through the tax-drag-differential channel: SRC dollars compound at the Roth’s tax-free rate</w:t>
      </w:r>
      <w:r>
        <w:t xml:space="preserve"> </w:t>
      </w:r>
      <m:oMath>
        <m:r>
          <m:t>r</m:t>
        </m:r>
      </m:oMath>
      <w:r>
        <w:t xml:space="preserve"> </w:t>
      </w:r>
      <w:r>
        <w:t xml:space="preserve">instead of the taxable wrapper’s after-drag rate</w:t>
      </w:r>
      <w:r>
        <w:t xml:space="preserve"> </w:t>
      </w:r>
      <m:oMath>
        <m:sSub>
          <m:e>
            <m:r>
              <m:t>r</m:t>
            </m:r>
          </m:e>
          <m:sub>
            <m:r>
              <m:t>d</m:t>
            </m:r>
          </m:sub>
        </m:sSub>
      </m:oMath>
      <w:r>
        <w:t xml:space="preserve">. 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 The two parameterizations are mathematically related: Vanguard’s</w:t>
      </w:r>
      <w:r>
        <w:t xml:space="preserve"> </w:t>
      </w:r>
      <m:oMath>
        <m:sSup>
          <m:e>
            <m:r>
              <m:t>M</m:t>
            </m:r>
          </m:e>
          <m:sup>
            <m:r>
              <m:rPr>
                <m:sty m:val="p"/>
              </m:rPr>
              <m:t>′</m:t>
            </m:r>
          </m:sup>
        </m:sSup>
        <m:r>
          <m:rPr>
            <m:sty m:val="p"/>
          </m:rPr>
          <m:t>/</m:t>
        </m:r>
        <m:r>
          <m:t>M</m:t>
        </m:r>
      </m:oMath>
      <w:r>
        <w:t xml:space="preserve"> </w:t>
      </w:r>
      <w:r>
        <w:t xml:space="preserve">horizon-cumulative wedge maps directly to the SRC’s per-year drag fraction</w:t>
      </w:r>
      <w:r>
        <w:t xml:space="preserve"> </w:t>
      </w:r>
      <m:oMath>
        <m:r>
          <m:t>d</m:t>
        </m:r>
      </m:oMath>
      <w:r>
        <w:t xml:space="preserve"> </w:t>
      </w:r>
      <w:r>
        <w:t xml:space="preserve">via</w:t>
      </w:r>
      <w:r>
        <w:t xml:space="preserve"> </w:t>
      </w:r>
      <m:oMath>
        <m:r>
          <m:t>d</m:t>
        </m:r>
        <m:r>
          <m:rPr>
            <m:sty m:val="p"/>
          </m:rPr>
          <m:t>=</m:t>
        </m:r>
        <m:r>
          <m:t>1</m:t>
        </m:r>
        <m:r>
          <m:rPr>
            <m:sty m:val="p"/>
          </m:rPr>
          <m:t>−</m:t>
        </m:r>
        <m:r>
          <m:rPr>
            <m:sty m:val="p"/>
          </m:rPr>
          <m:t>(</m:t>
        </m:r>
        <m:sSup>
          <m:e>
            <m:r>
              <m:t>M</m:t>
            </m:r>
          </m:e>
          <m:sup>
            <m:r>
              <m:rPr>
                <m:sty m:val="p"/>
              </m:rPr>
              <m:t>′</m:t>
            </m:r>
          </m:sup>
        </m:sSup>
        <m:sSup>
          <m:e>
            <m:r>
              <m:rPr>
                <m:sty m:val="p"/>
              </m:rPr>
              <m:t>)</m:t>
            </m:r>
          </m:e>
          <m:sup>
            <m:r>
              <m:t>1</m:t>
            </m:r>
            <m:r>
              <m:rPr>
                <m:sty m:val="p"/>
              </m:rPr>
              <m:t>/</m:t>
            </m:r>
            <m:r>
              <m:t>n</m:t>
            </m:r>
          </m:sup>
        </m:sSup>
        <m:r>
          <m:rPr>
            <m:sty m:val="p"/>
          </m:rPr>
          <m:t>/</m:t>
        </m:r>
        <m:sSup>
          <m:e>
            <m:r>
              <m:t>M</m:t>
            </m:r>
          </m:e>
          <m:sup>
            <m:r>
              <m:t>1</m:t>
            </m:r>
            <m:r>
              <m:rPr>
                <m:sty m:val="p"/>
              </m:rPr>
              <m:t>/</m:t>
            </m:r>
            <m:r>
              <m:t>n</m:t>
            </m:r>
          </m:sup>
        </m:sSup>
      </m:oMath>
      <w:r>
        <w:t xml:space="preserve"> </w:t>
      </w:r>
      <w:r>
        <w:t xml:space="preserve">(derived in §6). The per-year framing is also more actionable in practice: advisors can estimate</w:t>
      </w:r>
      <w:r>
        <w:t xml:space="preserve"> </w:t>
      </w:r>
      <m:oMath>
        <m:r>
          <m:t>d</m:t>
        </m:r>
      </m:oMath>
      <w:r>
        <w:t xml:space="preserve"> </w:t>
      </w:r>
      <w:r>
        <w:t xml:space="preserve">directly from a client’s outside-account tax profile — asset location, turnover, distribution yield, state of residence — and explain it as</w:t>
      </w:r>
      <w:r>
        <w:t xml:space="preserve"> </w:t>
      </w:r>
      <w:r>
        <w:t xml:space="preserve">“the share of annual return lost to taxation,”</w:t>
      </w:r>
      <w:r>
        <w:t xml:space="preserve"> </w:t>
      </w:r>
      <w:r>
        <w:t xml:space="preserve">a quantity observable on prior tax returns. The</w:t>
      </w:r>
      <w:r>
        <w:t xml:space="preserve"> </w:t>
      </w:r>
      <m:oMath>
        <m:sSup>
          <m:e>
            <m:r>
              <m:t>M</m:t>
            </m:r>
          </m:e>
          <m:sup>
            <m:r>
              <m:rPr>
                <m:sty m:val="p"/>
              </m:rPr>
              <m:t>′</m:t>
            </m:r>
          </m:sup>
        </m:sSup>
      </m:oMath>
      <w:r>
        <w:t xml:space="preserve"> </w:t>
      </w:r>
      <w:r>
        <w:t xml:space="preserve">parameter, by contrast, requires projecting a 20-year cumulative wealth differential against a hypothetical no-drag counterfactual — an opaque input the advisor must project and the client cannot verify.</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our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higher tax-inefficiency than this paper’s</w:t>
      </w:r>
      <w:r>
        <w:t xml:space="preserve"> </w:t>
      </w:r>
      <m:oMath>
        <m:r>
          <m:t>d</m:t>
        </m:r>
        <m:r>
          <m:rPr>
            <m:sty m:val="p"/>
          </m:rPr>
          <m:t>=</m:t>
        </m:r>
        <m:r>
          <m:t>5</m:t>
        </m:r>
        <m:r>
          <m:rPr>
            <m:sty m:val="p"/>
          </m:rPr>
          <m:t>%</m:t>
        </m:r>
      </m:oMath>
      <w:r>
        <w:t xml:space="preserve"> </w:t>
      </w:r>
      <w:r>
        <w:t xml:space="preserve">baseline (corresponding to</w:t>
      </w:r>
      <w:r>
        <w:t xml:space="preserve"> </w:t>
      </w:r>
      <m:oMath>
        <m:sSup>
          <m:e>
            <m:r>
              <m:t>M</m:t>
            </m:r>
          </m:e>
          <m:sup>
            <m:r>
              <m:rPr>
                <m:sty m:val="p"/>
              </m:rPr>
              <m:t>′</m:t>
            </m:r>
          </m:sup>
        </m:sSup>
        <m:r>
          <m:rPr>
            <m:sty m:val="p"/>
          </m:rPr>
          <m:t>≈</m:t>
        </m:r>
        <m:r>
          <m:t>2.74</m:t>
        </m:r>
      </m:oMath>
      <w:r>
        <w:t xml:space="preserve">). Vanguard’s BETR and the SRC’s drag-avoidance alpha are reparameterizations of the same underlying wrapper-drag wedge.</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1–5%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2026-05-15.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2026-05-15T17:17:04Z</dcterms:created>
  <dcterms:modified xsi:type="dcterms:W3CDTF">2026-05-15T17:17:04Z</dcterms:modified>
</cp:coreProperties>
</file>

<file path=docProps/custom.xml><?xml version="1.0" encoding="utf-8"?>
<Properties xmlns="http://schemas.openxmlformats.org/officeDocument/2006/custom-properties" xmlns:vt="http://schemas.openxmlformats.org/officeDocument/2006/docPropsVTypes"/>
</file>