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increment (§5.3), RMD’s varies because each year’s distribution is the prior balance divided by an age-indexed divisor that changes annually.</w:t>
      </w:r>
      <w:r>
        <w:t xml:space="preserve"> </w:t>
      </w:r>
      <w:r>
        <w:rPr>
          <w:b/>
          <w:bCs/>
        </w:rPr>
        <w:t xml:space="preserve">The varying per-year SRC increment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2026-05-14T21:19:10Z</dcterms:created>
  <dcterms:modified xsi:type="dcterms:W3CDTF">2026-05-14T21:19:10Z</dcterms:modified>
</cp:coreProperties>
</file>

<file path=docProps/custom.xml><?xml version="1.0" encoding="utf-8"?>
<Properties xmlns="http://schemas.openxmlformats.org/officeDocument/2006/custom-properties" xmlns:vt="http://schemas.openxmlformats.org/officeDocument/2006/docPropsVTypes"/>
</file>