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4"/>
        </w:numPr>
      </w:pPr>
      <w:r>
        <w:rPr>
          <w:b/>
          <w:bCs/>
        </w:rPr>
        <w:t xml:space="preserve">Outside FA scenario (§5):</w:t>
      </w:r>
      <w:r>
        <w:t xml:space="preserve"> </w:t>
      </w:r>
      <w:r>
        <w:t xml:space="preserve">FV $917.08 / PV $485.78</w:t>
      </w:r>
    </w:p>
    <w:p>
      <w:pPr>
        <w:pStyle w:val="Compact"/>
        <w:numPr>
          <w:ilvl w:val="0"/>
          <w:numId w:val="1004"/>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r>
        <w:pict>
          <v:rect style="width:0;height:1.5pt" o:hralign="center" o:hrstd="t" o:hr="t"/>
        </w:pict>
      </w:r>
    </w:p>
    <w:bookmarkEnd w:id="32"/>
    <w:bookmarkStart w:id="33" w:name="implications"/>
    <w:p>
      <w:pPr>
        <w:pStyle w:val="Heading2"/>
      </w:pPr>
      <w:r>
        <w:t xml:space="preserve">7. Implications</w:t>
      </w:r>
    </w:p>
    <w:p>
      <w:pPr>
        <w:pStyle w:val="FirstParagraph"/>
      </w:pPr>
      <w:r>
        <w:rPr>
          <w:b/>
          <w:bCs/>
        </w:rPr>
        <w:t xml:space="preserve">1. Two decisions: Convert? then fund Inside or Outside?</w:t>
      </w:r>
    </w:p>
    <w:p>
      <w:pPr>
        <w:pStyle w:val="BodyText"/>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5"/>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5"/>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has no independent existence: it materializes only as a side effect of choosing Outside funding for an already-decided conversion.</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Medicare-surcharge-reduction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Medicare + RMD tax-drag on the conversion side, plus tax-drag-avoidance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6"/>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6"/>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6"/>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6"/>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7"/>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7"/>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7"/>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7"/>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7"/>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7"/>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7"/>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2026-05-15T11:49:01Z</dcterms:created>
  <dcterms:modified xsi:type="dcterms:W3CDTF">2026-05-15T11:49:01Z</dcterms:modified>
</cp:coreProperties>
</file>

<file path=docProps/custom.xml><?xml version="1.0" encoding="utf-8"?>
<Properties xmlns="http://schemas.openxmlformats.org/officeDocument/2006/custom-properties" xmlns:vt="http://schemas.openxmlformats.org/officeDocument/2006/docPropsVTypes"/>
</file>